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978"/>
      </w:tblGrid>
      <w:tr>
        <w:tc>
          <w:tcPr>
            <w:tcW w:type="dxa" w:w="9978"/>
            <w:vAlign w:val="center"/>
            <w:shd w:fill="E8DCC8"/>
            <w:tcMar>
              <w:top w:w="360" w:type="dxa"/>
              <w:start w:w="420" w:type="dxa"/>
              <w:bottom w:w="360" w:type="dxa"/>
              <w:end w:w="420" w:type="dxa"/>
            </w:tcMar>
            <w:tcBorders>
              <w:left w:val="single" w:sz="18" w:color="A53A2B"/>
            </w:tcBorders>
          </w:tcPr>
          <w:p>
            <w:pPr>
              <w:spacing w:before="0" w:after="200" w:lineRule="auto" w:line="240"/>
            </w:pPr>
            <w:r>
              <w:rPr>
                <w:rFonts w:ascii="Microsoft YaHei" w:hAnsi="Microsoft YaHei" w:eastAsia="Microsoft YaHei" w:cs="Microsoft YaHei"/>
                <w:b/>
                <w:color w:val="A53A2B"/>
                <w:sz w:val="18"/>
              </w:rPr>
              <w:t>VOL. 01  /  北京 DESTINATION SERIES</w:t>
            </w:r>
          </w:p>
          <w:p>
            <w:pPr>
              <w:spacing w:before="0" w:after="160" w:lineRule="auto" w:line="252"/>
            </w:pPr>
            <w:r>
              <w:rPr>
                <w:rFonts w:ascii="Songti SC" w:hAnsi="Songti SC" w:eastAsia="Songti SC" w:cs="Songti SC"/>
                <w:b/>
                <w:color w:val="2B2420"/>
                <w:sz w:val="58"/>
              </w:rPr>
              <w:t>京城中轴·皇家长卷</w:t>
            </w:r>
          </w:p>
          <w:p>
            <w:pPr>
              <w:spacing w:before="0" w:after="240" w:lineRule="auto" w:line="324"/>
            </w:pPr>
            <w:r>
              <w:rPr>
                <w:rFonts w:ascii="Microsoft YaHei" w:hAnsi="Microsoft YaHei" w:eastAsia="Microsoft YaHei" w:cs="Microsoft YaHei"/>
                <w:b w:val="0"/>
                <w:color w:val="2B2420"/>
                <w:sz w:val="22"/>
              </w:rPr>
              <w:t>从天安门、故宫到天坛，沿城市秩序阅读古都时间</w:t>
            </w:r>
          </w:p>
          <w:p>
            <w:pPr>
              <w:spacing w:before="0" w:after="0" w:lineRule="auto" w:line="288"/>
            </w:pPr>
            <w:r>
              <w:rPr>
                <w:rFonts w:ascii="Microsoft YaHei" w:hAnsi="Microsoft YaHei" w:eastAsia="Microsoft YaHei" w:cs="Microsoft YaHei"/>
                <w:b/>
                <w:color w:val="C39A55"/>
                <w:sz w:val="17"/>
              </w:rPr>
              <w:t>完整销售提案   ×   皇家长卷   ×   主题组合示意</w:t>
            </w:r>
          </w:p>
        </w:tc>
      </w:tr>
    </w:tbl>
    <w:p/>
    <w:p>
      <w:pPr>
        <w:keepNext/>
        <w:jc w:val="center"/>
      </w:pPr>
      <w:r>
        <w:drawing>
          <wp:inline xmlns:a="http://schemas.openxmlformats.org/drawingml/2006/main" xmlns:pic="http://schemas.openxmlformats.org/drawingml/2006/picture">
            <wp:extent cx="6336000" cy="4221360"/>
            <wp:docPr id="1" name="Picture 1"/>
            <wp:cNvGraphicFramePr>
              <a:graphicFrameLocks noChangeAspect="1"/>
            </wp:cNvGraphicFramePr>
            <a:graphic>
              <a:graphicData uri="http://schemas.openxmlformats.org/drawingml/2006/picture">
                <pic:pic>
                  <pic:nvPicPr>
                    <pic:cNvPr id="0" name="01-place-01.jpg"/>
                    <pic:cNvPicPr/>
                  </pic:nvPicPr>
                  <pic:blipFill>
                    <a:blip r:embed="rId11"/>
                    <a:stretch>
                      <a:fillRect/>
                    </a:stretch>
                  </pic:blipFill>
                  <pic:spPr>
                    <a:xfrm>
                      <a:off x="0" y="0"/>
                      <a:ext cx="6336000" cy="4221360"/>
                    </a:xfrm>
                    <a:prstGeom prst="rect"/>
                  </pic:spPr>
                </pic:pic>
              </a:graphicData>
            </a:graphic>
          </wp:inline>
        </w:drawing>
      </w:r>
    </w:p>
    <w:p>
      <w:pPr>
        <w:spacing w:before="160" w:after="100" w:lineRule="auto" w:line="288"/>
        <w:jc w:val="center"/>
      </w:pPr>
      <w:r>
        <w:rPr>
          <w:rFonts w:ascii="Microsoft YaHei" w:hAnsi="Microsoft YaHei" w:eastAsia="Microsoft YaHei" w:cs="Microsoft YaHei"/>
          <w:b/>
          <w:color w:val="C39A55"/>
          <w:sz w:val="18"/>
        </w:rPr>
        <w:t>天安门广场 · 故宫 · 景山公园 · 天坛公园</w:t>
      </w:r>
    </w:p>
    <w:p>
      <w:pPr>
        <w:spacing w:before="0" w:after="0" w:lineRule="auto" w:line="288"/>
        <w:jc w:val="center"/>
      </w:pPr>
      <w:r>
        <w:rPr>
          <w:rFonts w:ascii="Microsoft YaHei" w:hAnsi="Microsoft YaHei" w:eastAsia="Microsoft YaHei" w:cs="Microsoft YaHei"/>
          <w:b w:val="0"/>
          <w:color w:val="777777"/>
          <w:sz w:val="17"/>
        </w:rPr>
        <w:t>本册用于主题组合与视觉样式预览；价格、日期、住宿、交通等动态信息均为待核实。</w:t>
      </w:r>
    </w:p>
    <w:p>
      <w:r>
        <w:br w:type="page"/>
      </w:r>
    </w:p>
    <w:tbl>
      <w:tblPr>
        <w:tblW w:type="auto" w:w="0"/>
        <w:jc w:val="center"/>
        <w:tblLayout w:type="fixed"/>
        <w:tblLook w:firstColumn="1" w:firstRow="1" w:lastColumn="0" w:lastRow="0" w:noHBand="0" w:noVBand="1" w:val="04A0"/>
      </w:tblPr>
      <w:tblGrid>
        <w:gridCol w:w="4989"/>
        <w:gridCol w:w="4989"/>
      </w:tblGrid>
      <w:tr>
        <w:tc>
          <w:tcPr>
            <w:tcW w:type="dxa" w:w="1134"/>
            <w:shd w:fill="A53A2B"/>
            <w:tcMar>
              <w:top w:w="170" w:type="dxa"/>
              <w:start w:w="220" w:type="dxa"/>
              <w:bottom w:w="170" w:type="dxa"/>
              <w:end w:w="220" w:type="dxa"/>
            </w:tcMar>
            <w:vAlign w:val="center"/>
          </w:tcPr>
          <w:p>
            <w:pPr>
              <w:spacing w:before="0" w:after="0" w:lineRule="auto" w:line="240"/>
              <w:jc w:val="center"/>
            </w:pPr>
            <w:r>
              <w:rPr>
                <w:rFonts w:ascii="Songti SC" w:hAnsi="Songti SC" w:eastAsia="Songti SC" w:cs="Songti SC"/>
                <w:b/>
                <w:color w:val="FFFFFF"/>
                <w:sz w:val="32"/>
              </w:rPr>
              <w:t>01</w:t>
            </w:r>
          </w:p>
        </w:tc>
        <w:tc>
          <w:tcPr>
            <w:tcW w:type="dxa" w:w="8844"/>
            <w:shd w:fill="E8DCC8"/>
            <w:tcMar>
              <w:top w:w="170" w:type="dxa"/>
              <w:start w:w="220" w:type="dxa"/>
              <w:bottom w:w="170" w:type="dxa"/>
              <w:end w:w="220" w:type="dxa"/>
            </w:tcMar>
            <w:vAlign w:val="center"/>
          </w:tcPr>
          <w:p>
            <w:pPr>
              <w:spacing w:before="0" w:after="40" w:lineRule="auto" w:line="240"/>
            </w:pPr>
            <w:r>
              <w:rPr>
                <w:rFonts w:ascii="Songti SC" w:hAnsi="Songti SC" w:eastAsia="Songti SC" w:cs="Songti SC"/>
                <w:b/>
                <w:color w:val="2B2420"/>
                <w:sz w:val="34"/>
              </w:rPr>
              <w:t>主题线路图</w:t>
            </w:r>
          </w:p>
          <w:p>
            <w:pPr>
              <w:spacing w:before="0" w:after="0" w:lineRule="auto" w:line="240"/>
            </w:pPr>
            <w:r>
              <w:rPr>
                <w:rFonts w:ascii="Microsoft YaHei" w:hAnsi="Microsoft YaHei" w:eastAsia="Microsoft YaHei" w:cs="Microsoft YaHei"/>
                <w:b w:val="0"/>
                <w:color w:val="C39A55"/>
                <w:sz w:val="16"/>
              </w:rPr>
              <w:t>地点连线、每日颜色、交通距离与时间一图呈现</w:t>
            </w:r>
          </w:p>
        </w:tc>
      </w:tr>
    </w:tbl>
    <w:p>
      <w:pPr>
        <w:spacing w:after="0"/>
      </w:pPr>
    </w:p>
    <w:p>
      <w:pPr>
        <w:keepNext/>
        <w:jc w:val="center"/>
      </w:pPr>
      <w:r>
        <w:drawing>
          <wp:inline xmlns:a="http://schemas.openxmlformats.org/drawingml/2006/main" xmlns:pic="http://schemas.openxmlformats.org/drawingml/2006/picture">
            <wp:extent cx="6048000" cy="7826824"/>
            <wp:docPr id="2" name="Picture 2"/>
            <wp:cNvGraphicFramePr>
              <a:graphicFrameLocks noChangeAspect="1"/>
            </wp:cNvGraphicFramePr>
            <a:graphic>
              <a:graphicData uri="http://schemas.openxmlformats.org/drawingml/2006/picture">
                <pic:pic>
                  <pic:nvPicPr>
                    <pic:cNvPr id="0" name="route-map.png"/>
                    <pic:cNvPicPr/>
                  </pic:nvPicPr>
                  <pic:blipFill>
                    <a:blip r:embed="rId12"/>
                    <a:stretch>
                      <a:fillRect/>
                    </a:stretch>
                  </pic:blipFill>
                  <pic:spPr>
                    <a:xfrm>
                      <a:off x="0" y="0"/>
                      <a:ext cx="6048000" cy="7826824"/>
                    </a:xfrm>
                    <a:prstGeom prst="rect"/>
                  </pic:spPr>
                </pic:pic>
              </a:graphicData>
            </a:graphic>
          </wp:inline>
        </w:drawing>
      </w:r>
    </w:p>
    <w:p>
      <w:pPr>
        <w:spacing w:before="80" w:after="200" w:lineRule="auto" w:line="312"/>
      </w:pPr>
      <w:r>
        <w:rPr>
          <w:rFonts w:ascii="Microsoft YaHei" w:hAnsi="Microsoft YaHei" w:eastAsia="Microsoft YaHei" w:cs="Microsoft YaHei"/>
          <w:b/>
          <w:color w:val="C39A55"/>
          <w:sz w:val="17"/>
        </w:rPr>
        <w:t>景点间距离与时间按制作时路线查询结果整理，均为预计值</w:t>
      </w:r>
    </w:p>
    <w:p>
      <w:pPr>
        <w:keepNext/>
        <w:spacing w:before="100" w:after="100" w:lineRule="auto" w:line="240"/>
      </w:pPr>
      <w:r>
        <w:rPr>
          <w:rFonts w:ascii="Songti SC" w:hAnsi="Songti SC" w:eastAsia="Songti SC" w:cs="Songti SC"/>
          <w:b/>
          <w:color w:val="2B2420"/>
          <w:sz w:val="26"/>
        </w:rPr>
        <w:t>每日线路与交通（原生可编辑）</w:t>
      </w:r>
    </w:p>
    <w:tbl>
      <w:tblPr>
        <w:tblW w:type="auto" w:w="0"/>
        <w:jc w:val="center"/>
        <w:tblLayout w:type="fixed"/>
        <w:tblLook w:firstColumn="1" w:firstRow="1" w:lastColumn="0" w:lastRow="0" w:noHBand="0" w:noVBand="1" w:val="04A0"/>
      </w:tblPr>
      <w:tblGrid>
        <w:gridCol w:w="1996"/>
        <w:gridCol w:w="1996"/>
        <w:gridCol w:w="1996"/>
        <w:gridCol w:w="1996"/>
        <w:gridCol w:w="1996"/>
      </w:tblGrid>
      <w:tr>
        <w:trPr>
          <w:tblHeader w:val="true"/>
        </w:trPr>
        <w:tc>
          <w:tcPr>
            <w:tcW w:type="dxa" w:w="1020"/>
            <w:shd w:fill="2B2420"/>
            <w:tcMar>
              <w:top w:w="120" w:type="dxa"/>
              <w:start w:w="120" w:type="dxa"/>
              <w:bottom w:w="120" w:type="dxa"/>
              <w:end w:w="120" w:type="dxa"/>
            </w:tcMar>
          </w:tcPr>
          <w:p>
            <w:pPr>
              <w:jc w:val="center"/>
            </w:pPr>
            <w:r>
              <w:rPr>
                <w:rFonts w:ascii="Microsoft YaHei" w:hAnsi="Microsoft YaHei" w:eastAsia="Microsoft YaHei" w:cs="Microsoft YaHei"/>
                <w:b/>
                <w:color w:val="FFFFFF"/>
                <w:sz w:val="16"/>
              </w:rPr>
              <w:t>天数</w:t>
            </w:r>
          </w:p>
        </w:tc>
        <w:tc>
          <w:tcPr>
            <w:tcW w:type="dxa" w:w="2835"/>
            <w:shd w:fill="2B2420"/>
            <w:tcMar>
              <w:top w:w="120" w:type="dxa"/>
              <w:start w:w="120" w:type="dxa"/>
              <w:bottom w:w="120" w:type="dxa"/>
              <w:end w:w="120" w:type="dxa"/>
            </w:tcMar>
          </w:tcPr>
          <w:p>
            <w:pPr>
              <w:jc w:val="center"/>
            </w:pPr>
            <w:r>
              <w:rPr>
                <w:rFonts w:ascii="Microsoft YaHei" w:hAnsi="Microsoft YaHei" w:eastAsia="Microsoft YaHei" w:cs="Microsoft YaHei"/>
                <w:b/>
                <w:color w:val="FFFFFF"/>
                <w:sz w:val="16"/>
              </w:rPr>
              <w:t>线路</w:t>
            </w:r>
          </w:p>
        </w:tc>
        <w:tc>
          <w:tcPr>
            <w:tcW w:type="dxa" w:w="1701"/>
            <w:shd w:fill="2B2420"/>
            <w:tcMar>
              <w:top w:w="120" w:type="dxa"/>
              <w:start w:w="120" w:type="dxa"/>
              <w:bottom w:w="120" w:type="dxa"/>
              <w:end w:w="120" w:type="dxa"/>
            </w:tcMar>
          </w:tcPr>
          <w:p>
            <w:pPr>
              <w:jc w:val="center"/>
            </w:pPr>
            <w:r>
              <w:rPr>
                <w:rFonts w:ascii="Microsoft YaHei" w:hAnsi="Microsoft YaHei" w:eastAsia="Microsoft YaHei" w:cs="Microsoft YaHei"/>
                <w:b/>
                <w:color w:val="FFFFFF"/>
                <w:sz w:val="16"/>
              </w:rPr>
              <w:t>交通</w:t>
            </w:r>
          </w:p>
        </w:tc>
        <w:tc>
          <w:tcPr>
            <w:tcW w:type="dxa" w:w="2438"/>
            <w:shd w:fill="2B2420"/>
            <w:tcMar>
              <w:top w:w="120" w:type="dxa"/>
              <w:start w:w="120" w:type="dxa"/>
              <w:bottom w:w="120" w:type="dxa"/>
              <w:end w:w="120" w:type="dxa"/>
            </w:tcMar>
          </w:tcPr>
          <w:p>
            <w:pPr>
              <w:jc w:val="center"/>
            </w:pPr>
            <w:r>
              <w:rPr>
                <w:rFonts w:ascii="Microsoft YaHei" w:hAnsi="Microsoft YaHei" w:eastAsia="Microsoft YaHei" w:cs="Microsoft YaHei"/>
                <w:b/>
                <w:color w:val="FFFFFF"/>
                <w:sz w:val="16"/>
              </w:rPr>
              <w:t>距离 / 时间</w:t>
            </w:r>
          </w:p>
        </w:tc>
        <w:tc>
          <w:tcPr>
            <w:tcW w:type="dxa" w:w="1984"/>
            <w:shd w:fill="2B2420"/>
            <w:tcMar>
              <w:top w:w="120" w:type="dxa"/>
              <w:start w:w="120" w:type="dxa"/>
              <w:bottom w:w="120" w:type="dxa"/>
              <w:end w:w="120" w:type="dxa"/>
            </w:tcMar>
          </w:tcPr>
          <w:p>
            <w:pPr>
              <w:jc w:val="center"/>
            </w:pPr>
            <w:r>
              <w:rPr>
                <w:rFonts w:ascii="Microsoft YaHei" w:hAnsi="Microsoft YaHei" w:eastAsia="Microsoft YaHei" w:cs="Microsoft YaHei"/>
                <w:b/>
                <w:color w:val="FFFFFF"/>
                <w:sz w:val="16"/>
              </w:rPr>
              <w:t>住宿</w:t>
            </w:r>
          </w:p>
        </w:tc>
      </w:tr>
      <w:tr>
        <w:tc>
          <w:tcPr>
            <w:tcW w:type="dxa" w:w="1020"/>
            <w:shd w:fill="E8DCC8"/>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color w:val="2B2420"/>
                <w:sz w:val="16"/>
              </w:rPr>
              <w:t>D1</w:t>
            </w:r>
          </w:p>
        </w:tc>
        <w:tc>
          <w:tcPr>
            <w:tcW w:type="dxa" w:w="2835"/>
            <w:shd w:fill="E8DCC8"/>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天安门广场</w:t>
            </w:r>
          </w:p>
        </w:tc>
        <w:tc>
          <w:tcPr>
            <w:tcW w:type="dxa" w:w="1701"/>
            <w:shd w:fill="E8DCC8"/>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抵达日</w:t>
            </w:r>
          </w:p>
        </w:tc>
        <w:tc>
          <w:tcPr>
            <w:tcW w:type="dxa" w:w="2438"/>
            <w:shd w:fill="E8DCC8"/>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待核实</w:t>
            </w:r>
          </w:p>
        </w:tc>
        <w:tc>
          <w:tcPr>
            <w:tcW w:type="dxa" w:w="1984"/>
            <w:shd w:fill="E8DCC8"/>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待核实</w:t>
            </w:r>
          </w:p>
        </w:tc>
      </w:tr>
      <w:tr>
        <w:tc>
          <w:tcPr>
            <w:tcW w:type="dxa" w:w="1020"/>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color w:val="2B2420"/>
                <w:sz w:val="16"/>
              </w:rPr>
              <w:t>D2</w:t>
            </w:r>
          </w:p>
        </w:tc>
        <w:tc>
          <w:tcPr>
            <w:tcW w:type="dxa" w:w="2835"/>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故宫</w:t>
            </w:r>
          </w:p>
        </w:tc>
        <w:tc>
          <w:tcPr>
            <w:tcW w:type="dxa" w:w="1701"/>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驾车</w:t>
            </w:r>
          </w:p>
        </w:tc>
        <w:tc>
          <w:tcPr>
            <w:tcW w:type="dxa" w:w="2438"/>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约2.7km · 预计5分钟</w:t>
            </w:r>
          </w:p>
        </w:tc>
        <w:tc>
          <w:tcPr>
            <w:tcW w:type="dxa" w:w="1984"/>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待核实</w:t>
            </w:r>
          </w:p>
        </w:tc>
      </w:tr>
      <w:tr>
        <w:tc>
          <w:tcPr>
            <w:tcW w:type="dxa" w:w="1020"/>
            <w:shd w:fill="E8DCC8"/>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color w:val="2B2420"/>
                <w:sz w:val="16"/>
              </w:rPr>
              <w:t>D3</w:t>
            </w:r>
          </w:p>
        </w:tc>
        <w:tc>
          <w:tcPr>
            <w:tcW w:type="dxa" w:w="2835"/>
            <w:shd w:fill="E8DCC8"/>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景山公园</w:t>
            </w:r>
          </w:p>
        </w:tc>
        <w:tc>
          <w:tcPr>
            <w:tcW w:type="dxa" w:w="1701"/>
            <w:shd w:fill="E8DCC8"/>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驾车</w:t>
            </w:r>
          </w:p>
        </w:tc>
        <w:tc>
          <w:tcPr>
            <w:tcW w:type="dxa" w:w="2438"/>
            <w:shd w:fill="E8DCC8"/>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约2.5km · 预计6分钟</w:t>
            </w:r>
          </w:p>
        </w:tc>
        <w:tc>
          <w:tcPr>
            <w:tcW w:type="dxa" w:w="1984"/>
            <w:shd w:fill="E8DCC8"/>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待核实</w:t>
            </w:r>
          </w:p>
        </w:tc>
      </w:tr>
      <w:tr>
        <w:tc>
          <w:tcPr>
            <w:tcW w:type="dxa" w:w="1020"/>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color w:val="2B2420"/>
                <w:sz w:val="16"/>
              </w:rPr>
              <w:t>D4</w:t>
            </w:r>
          </w:p>
        </w:tc>
        <w:tc>
          <w:tcPr>
            <w:tcW w:type="dxa" w:w="2835"/>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天坛公园</w:t>
            </w:r>
          </w:p>
        </w:tc>
        <w:tc>
          <w:tcPr>
            <w:tcW w:type="dxa" w:w="1701"/>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驾车</w:t>
            </w:r>
          </w:p>
        </w:tc>
        <w:tc>
          <w:tcPr>
            <w:tcW w:type="dxa" w:w="2438"/>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约8km · 预计12分钟</w:t>
            </w:r>
          </w:p>
        </w:tc>
        <w:tc>
          <w:tcPr>
            <w:tcW w:type="dxa" w:w="1984"/>
            <w:tcMar>
              <w:top w:w="115" w:type="dxa"/>
              <w:start w:w="120" w:type="dxa"/>
              <w:bottom w:w="115" w:type="dxa"/>
              <w:end w:w="120" w:type="dxa"/>
            </w:tcMar>
            <w:tcBorders>
              <w:top w:val="single" w:sz="3" w:color="E8DCC8"/>
              <w:left w:val="single" w:sz="3" w:color="E8DCC8"/>
              <w:bottom w:val="single" w:sz="3" w:color="E8DCC8"/>
              <w:right w:val="single" w:sz="3" w:color="E8DCC8"/>
            </w:tcBorders>
            <w:vAlign w:val="center"/>
          </w:tcPr>
          <w:p>
            <w:r>
              <w:rPr>
                <w:rFonts w:ascii="Microsoft YaHei" w:hAnsi="Microsoft YaHei" w:eastAsia="Microsoft YaHei" w:cs="Microsoft YaHei"/>
                <w:b w:val="0"/>
                <w:color w:val="2B2420"/>
                <w:sz w:val="16"/>
              </w:rPr>
              <w:t>待核实</w:t>
            </w:r>
          </w:p>
        </w:tc>
      </w:tr>
    </w:tbl>
    <w:p>
      <w:pPr>
        <w:spacing w:before="140" w:after="0" w:lineRule="auto" w:line="312"/>
      </w:pPr>
      <w:r>
        <w:rPr>
          <w:rFonts w:ascii="Microsoft YaHei" w:hAnsi="Microsoft YaHei" w:eastAsia="Microsoft YaHei" w:cs="Microsoft YaHei"/>
          <w:b w:val="0"/>
          <w:color w:val="777777"/>
          <w:sz w:val="16"/>
        </w:rPr>
        <w:t>样式与规划展示，正式产品以最终确认为准</w:t>
      </w:r>
    </w:p>
    <w:p>
      <w:r>
        <w:br w:type="page"/>
      </w:r>
    </w:p>
    <w:tbl>
      <w:tblPr>
        <w:tblW w:type="auto" w:w="0"/>
        <w:jc w:val="center"/>
        <w:tblLayout w:type="fixed"/>
        <w:tblLook w:firstColumn="1" w:firstRow="1" w:lastColumn="0" w:lastRow="0" w:noHBand="0" w:noVBand="1" w:val="04A0"/>
      </w:tblPr>
      <w:tblGrid>
        <w:gridCol w:w="4989"/>
        <w:gridCol w:w="4989"/>
      </w:tblGrid>
      <w:tr>
        <w:tc>
          <w:tcPr>
            <w:tcW w:type="dxa" w:w="1134"/>
            <w:shd w:fill="A53A2B"/>
            <w:tcMar>
              <w:top w:w="170" w:type="dxa"/>
              <w:start w:w="220" w:type="dxa"/>
              <w:bottom w:w="170" w:type="dxa"/>
              <w:end w:w="220" w:type="dxa"/>
            </w:tcMar>
            <w:vAlign w:val="center"/>
          </w:tcPr>
          <w:p>
            <w:pPr>
              <w:spacing w:before="0" w:after="0" w:lineRule="auto" w:line="240"/>
              <w:jc w:val="center"/>
            </w:pPr>
            <w:r>
              <w:rPr>
                <w:rFonts w:ascii="Songti SC" w:hAnsi="Songti SC" w:eastAsia="Songti SC" w:cs="Songti SC"/>
                <w:b/>
                <w:color w:val="FFFFFF"/>
                <w:sz w:val="32"/>
              </w:rPr>
              <w:t>02</w:t>
            </w:r>
          </w:p>
        </w:tc>
        <w:tc>
          <w:tcPr>
            <w:tcW w:type="dxa" w:w="8844"/>
            <w:shd w:fill="E8DCC8"/>
            <w:tcMar>
              <w:top w:w="170" w:type="dxa"/>
              <w:start w:w="220" w:type="dxa"/>
              <w:bottom w:w="170" w:type="dxa"/>
              <w:end w:w="220" w:type="dxa"/>
            </w:tcMar>
            <w:vAlign w:val="center"/>
          </w:tcPr>
          <w:p>
            <w:pPr>
              <w:spacing w:before="0" w:after="40" w:lineRule="auto" w:line="240"/>
            </w:pPr>
            <w:r>
              <w:rPr>
                <w:rFonts w:ascii="Songti SC" w:hAnsi="Songti SC" w:eastAsia="Songti SC" w:cs="Songti SC"/>
                <w:b/>
                <w:color w:val="2B2420"/>
                <w:sz w:val="34"/>
              </w:rPr>
              <w:t>景点章节</w:t>
            </w:r>
          </w:p>
          <w:p>
            <w:pPr>
              <w:spacing w:before="0" w:after="0" w:lineRule="auto" w:line="240"/>
            </w:pPr>
            <w:r>
              <w:rPr>
                <w:rFonts w:ascii="Microsoft YaHei" w:hAnsi="Microsoft YaHei" w:eastAsia="Microsoft YaHei" w:cs="Microsoft YaHei"/>
                <w:b w:val="0"/>
                <w:color w:val="C39A55"/>
                <w:sz w:val="16"/>
              </w:rPr>
              <w:t>从本地景点资料提炼，保留事实边界</w:t>
            </w:r>
          </w:p>
        </w:tc>
      </w:tr>
    </w:tbl>
    <w:p>
      <w:pPr>
        <w:spacing w:after="0"/>
      </w:pPr>
    </w:p>
    <w:p>
      <w:pPr>
        <w:keepNext/>
        <w:spacing w:before="180" w:after="80" w:lineRule="auto" w:line="252"/>
      </w:pPr>
      <w:r>
        <w:rPr>
          <w:rFonts w:ascii="Microsoft YaHei" w:hAnsi="Microsoft YaHei" w:eastAsia="Microsoft YaHei" w:cs="Microsoft YaHei"/>
          <w:b/>
          <w:color w:val="A53A2B"/>
          <w:sz w:val="18"/>
        </w:rPr>
        <w:t>01</w:t>
      </w:r>
      <w:r>
        <w:rPr>
          <w:rFonts w:ascii="Songti SC" w:hAnsi="Songti SC" w:eastAsia="Songti SC" w:cs="Songti SC"/>
          <w:b/>
          <w:color w:val="2B2420"/>
          <w:sz w:val="30"/>
        </w:rPr>
        <w:t xml:space="preserve">  天安门广场</w:t>
      </w:r>
    </w:p>
    <w:p>
      <w:pPr>
        <w:keepNext/>
        <w:spacing w:before="0" w:after="100" w:lineRule="auto" w:line="348"/>
      </w:pPr>
      <w:r>
        <w:rPr>
          <w:rFonts w:ascii="Microsoft YaHei" w:hAnsi="Microsoft YaHei" w:eastAsia="Microsoft YaHei" w:cs="Microsoft YaHei"/>
          <w:b w:val="0"/>
          <w:color w:val="2B2420"/>
          <w:sz w:val="21"/>
        </w:rPr>
        <w:t>前往城市中心广场【天安门广场】(游览约1.5小时)，环视【人民英雄纪念碑】等外景。</w:t>
      </w:r>
    </w:p>
    <w:p>
      <w:pPr>
        <w:spacing w:before="0" w:after="100" w:lineRule="auto" w:line="312"/>
      </w:pPr>
      <w:r>
        <w:rPr>
          <w:rFonts w:ascii="Microsoft YaHei" w:hAnsi="Microsoft YaHei" w:eastAsia="Microsoft YaHei" w:cs="Microsoft YaHei"/>
          <w:b w:val="0"/>
          <w:color w:val="C39A55"/>
          <w:sz w:val="17"/>
        </w:rPr>
        <w:t>资料时长：1.5小时（对客前复核）</w:t>
      </w:r>
    </w:p>
    <w:p>
      <w:pPr>
        <w:keepNext/>
        <w:jc w:val="center"/>
      </w:pPr>
      <w:r>
        <w:drawing>
          <wp:inline xmlns:a="http://schemas.openxmlformats.org/drawingml/2006/main" xmlns:pic="http://schemas.openxmlformats.org/drawingml/2006/picture">
            <wp:extent cx="5673545" cy="3779999"/>
            <wp:docPr id="3" name="Picture 3"/>
            <wp:cNvGraphicFramePr>
              <a:graphicFrameLocks noChangeAspect="1"/>
            </wp:cNvGraphicFramePr>
            <a:graphic>
              <a:graphicData uri="http://schemas.openxmlformats.org/drawingml/2006/picture">
                <pic:pic>
                  <pic:nvPicPr>
                    <pic:cNvPr id="0" name="01-place-01.jpg"/>
                    <pic:cNvPicPr/>
                  </pic:nvPicPr>
                  <pic:blipFill>
                    <a:blip r:embed="rId11"/>
                    <a:stretch>
                      <a:fillRect/>
                    </a:stretch>
                  </pic:blipFill>
                  <pic:spPr>
                    <a:xfrm>
                      <a:off x="0" y="0"/>
                      <a:ext cx="5673545" cy="3779999"/>
                    </a:xfrm>
                    <a:prstGeom prst="rect"/>
                  </pic:spPr>
                </pic:pic>
              </a:graphicData>
            </a:graphic>
          </wp:inline>
        </w:drawing>
      </w:r>
    </w:p>
    <w:p>
      <w:r>
        <w:br w:type="page"/>
      </w:r>
    </w:p>
    <w:p>
      <w:pPr>
        <w:keepNext/>
        <w:spacing w:before="180" w:after="80" w:lineRule="auto" w:line="252"/>
      </w:pPr>
      <w:r>
        <w:rPr>
          <w:rFonts w:ascii="Microsoft YaHei" w:hAnsi="Microsoft YaHei" w:eastAsia="Microsoft YaHei" w:cs="Microsoft YaHei"/>
          <w:b/>
          <w:color w:val="A53A2B"/>
          <w:sz w:val="18"/>
        </w:rPr>
        <w:t>02</w:t>
      </w:r>
      <w:r>
        <w:rPr>
          <w:rFonts w:ascii="Songti SC" w:hAnsi="Songti SC" w:eastAsia="Songti SC" w:cs="Songti SC"/>
          <w:b/>
          <w:color w:val="2B2420"/>
          <w:sz w:val="30"/>
        </w:rPr>
        <w:t xml:space="preserve">  故宫</w:t>
      </w:r>
    </w:p>
    <w:p>
      <w:pPr>
        <w:keepNext/>
        <w:spacing w:before="0" w:after="100" w:lineRule="auto" w:line="348"/>
      </w:pPr>
      <w:r>
        <w:rPr>
          <w:rFonts w:ascii="Microsoft YaHei" w:hAnsi="Microsoft YaHei" w:eastAsia="Microsoft YaHei" w:cs="Microsoft YaHei"/>
          <w:b w:val="0"/>
          <w:color w:val="2B2420"/>
          <w:sz w:val="21"/>
        </w:rPr>
        <w:t>【故宫】（又称紫禁城）（含大门票，游览时间约3小时），旧称“紫禁城”，是明、清两代的皇宫，被称为“殿宇之海”，气魄宏伟，极为壮观。也是古老中国的标志和象征。当你置身于气派规整的高墙深院，能真真切切地感受到它曾经的荣耀。悠久的历史给这里留下了大规模的珍贵建筑和无数文物，也成为游玩故宫的主要看点。</w:t>
      </w:r>
    </w:p>
    <w:p>
      <w:pPr>
        <w:spacing w:before="0" w:after="100" w:lineRule="auto" w:line="312"/>
      </w:pPr>
      <w:r>
        <w:rPr>
          <w:rFonts w:ascii="Microsoft YaHei" w:hAnsi="Microsoft YaHei" w:eastAsia="Microsoft YaHei" w:cs="Microsoft YaHei"/>
          <w:b w:val="0"/>
          <w:color w:val="C39A55"/>
          <w:sz w:val="17"/>
        </w:rPr>
        <w:t>资料时长：3小时（对客前复核）  ·  提示：故宫博物院/毛主席纪念堂/中国国家博物馆/军事博物馆/中国科技馆馆每周一全天闭馆或因政策性原因，如遇闭馆则根据实际情况调整行程，敬请谅解！；故宫博物院自2015年6月13日起实行实名制携带二代身份证购票，请客人一定要携带身份证件才能入馆，如因客人自身原因未带身份证件或身份证号提供错误造成无法入馆的情况，后果客人承担，如学生儿童没有身份证件的请带户口簿或者护照入馆。；故宫仅含首道门票，景点中珍宝馆与钟表馆门票不含。</w:t>
      </w:r>
    </w:p>
    <w:p>
      <w:pPr>
        <w:keepNext/>
        <w:jc w:val="center"/>
      </w:pPr>
      <w:r>
        <w:drawing>
          <wp:inline xmlns:a="http://schemas.openxmlformats.org/drawingml/2006/main" xmlns:pic="http://schemas.openxmlformats.org/drawingml/2006/picture">
            <wp:extent cx="5673545" cy="3779999"/>
            <wp:docPr id="4" name="Picture 4"/>
            <wp:cNvGraphicFramePr>
              <a:graphicFrameLocks noChangeAspect="1"/>
            </wp:cNvGraphicFramePr>
            <a:graphic>
              <a:graphicData uri="http://schemas.openxmlformats.org/drawingml/2006/picture">
                <pic:pic>
                  <pic:nvPicPr>
                    <pic:cNvPr id="0" name="03-place-02.jpg"/>
                    <pic:cNvPicPr/>
                  </pic:nvPicPr>
                  <pic:blipFill>
                    <a:blip r:embed="rId13"/>
                    <a:stretch>
                      <a:fillRect/>
                    </a:stretch>
                  </pic:blipFill>
                  <pic:spPr>
                    <a:xfrm>
                      <a:off x="0" y="0"/>
                      <a:ext cx="5673545" cy="3779999"/>
                    </a:xfrm>
                    <a:prstGeom prst="rect"/>
                  </pic:spPr>
                </pic:pic>
              </a:graphicData>
            </a:graphic>
          </wp:inline>
        </w:drawing>
      </w:r>
    </w:p>
    <w:p>
      <w:r>
        <w:br w:type="page"/>
      </w:r>
    </w:p>
    <w:p>
      <w:pPr>
        <w:keepNext/>
        <w:spacing w:before="180" w:after="80" w:lineRule="auto" w:line="252"/>
      </w:pPr>
      <w:r>
        <w:rPr>
          <w:rFonts w:ascii="Microsoft YaHei" w:hAnsi="Microsoft YaHei" w:eastAsia="Microsoft YaHei" w:cs="Microsoft YaHei"/>
          <w:b/>
          <w:color w:val="A53A2B"/>
          <w:sz w:val="18"/>
        </w:rPr>
        <w:t>03</w:t>
      </w:r>
      <w:r>
        <w:rPr>
          <w:rFonts w:ascii="Songti SC" w:hAnsi="Songti SC" w:eastAsia="Songti SC" w:cs="Songti SC"/>
          <w:b/>
          <w:color w:val="2B2420"/>
          <w:sz w:val="30"/>
        </w:rPr>
        <w:t xml:space="preserve">  景山公园</w:t>
      </w:r>
    </w:p>
    <w:p>
      <w:pPr>
        <w:keepNext/>
        <w:spacing w:before="0" w:after="100" w:lineRule="auto" w:line="348"/>
      </w:pPr>
      <w:r>
        <w:rPr>
          <w:rFonts w:ascii="Microsoft YaHei" w:hAnsi="Microsoft YaHei" w:eastAsia="Microsoft YaHei" w:cs="Microsoft YaHei"/>
          <w:b w:val="0"/>
          <w:color w:val="2B2420"/>
          <w:sz w:val="21"/>
        </w:rPr>
        <w:t>（游览时间1小时）。景山公园位于北京市西城区景山前街，坐落在明清北京城的中轴线上，西临北海，南与故宫神武门隔街相望，是明、清两代的御苑。公园中心的景山为堆土而成，曾是全城的制高点。</w:t>
      </w:r>
    </w:p>
    <w:p>
      <w:pPr>
        <w:spacing w:before="0" w:after="100" w:lineRule="auto" w:line="312"/>
      </w:pPr>
      <w:r>
        <w:rPr>
          <w:rFonts w:ascii="Microsoft YaHei" w:hAnsi="Microsoft YaHei" w:eastAsia="Microsoft YaHei" w:cs="Microsoft YaHei"/>
          <w:b w:val="0"/>
          <w:color w:val="C39A55"/>
          <w:sz w:val="17"/>
        </w:rPr>
        <w:t>资料时长：1小时（对客前复核）</w:t>
      </w:r>
    </w:p>
    <w:p>
      <w:pPr>
        <w:keepNext/>
        <w:jc w:val="center"/>
      </w:pPr>
      <w:r>
        <w:drawing>
          <wp:inline xmlns:a="http://schemas.openxmlformats.org/drawingml/2006/main" xmlns:pic="http://schemas.openxmlformats.org/drawingml/2006/picture">
            <wp:extent cx="5673545" cy="3779999"/>
            <wp:docPr id="5" name="Picture 5"/>
            <wp:cNvGraphicFramePr>
              <a:graphicFrameLocks noChangeAspect="1"/>
            </wp:cNvGraphicFramePr>
            <a:graphic>
              <a:graphicData uri="http://schemas.openxmlformats.org/drawingml/2006/picture">
                <pic:pic>
                  <pic:nvPicPr>
                    <pic:cNvPr id="0" name="04-place-03.jpg"/>
                    <pic:cNvPicPr/>
                  </pic:nvPicPr>
                  <pic:blipFill>
                    <a:blip r:embed="rId14"/>
                    <a:stretch>
                      <a:fillRect/>
                    </a:stretch>
                  </pic:blipFill>
                  <pic:spPr>
                    <a:xfrm>
                      <a:off x="0" y="0"/>
                      <a:ext cx="5673545" cy="3779999"/>
                    </a:xfrm>
                    <a:prstGeom prst="rect"/>
                  </pic:spPr>
                </pic:pic>
              </a:graphicData>
            </a:graphic>
          </wp:inline>
        </w:drawing>
      </w:r>
    </w:p>
    <w:p>
      <w:r>
        <w:br w:type="page"/>
      </w:r>
    </w:p>
    <w:p>
      <w:pPr>
        <w:keepNext/>
        <w:spacing w:before="180" w:after="80" w:lineRule="auto" w:line="252"/>
      </w:pPr>
      <w:r>
        <w:rPr>
          <w:rFonts w:ascii="Microsoft YaHei" w:hAnsi="Microsoft YaHei" w:eastAsia="Microsoft YaHei" w:cs="Microsoft YaHei"/>
          <w:b/>
          <w:color w:val="A53A2B"/>
          <w:sz w:val="18"/>
        </w:rPr>
        <w:t>04</w:t>
      </w:r>
      <w:r>
        <w:rPr>
          <w:rFonts w:ascii="Songti SC" w:hAnsi="Songti SC" w:eastAsia="Songti SC" w:cs="Songti SC"/>
          <w:b/>
          <w:color w:val="2B2420"/>
          <w:sz w:val="30"/>
        </w:rPr>
        <w:t xml:space="preserve">  天坛公园</w:t>
      </w:r>
    </w:p>
    <w:p>
      <w:pPr>
        <w:keepNext/>
        <w:spacing w:before="0" w:after="100" w:lineRule="auto" w:line="348"/>
      </w:pPr>
      <w:r>
        <w:rPr>
          <w:rFonts w:ascii="Microsoft YaHei" w:hAnsi="Microsoft YaHei" w:eastAsia="Microsoft YaHei" w:cs="Microsoft YaHei"/>
          <w:b w:val="0"/>
          <w:color w:val="2B2420"/>
          <w:sz w:val="21"/>
        </w:rPr>
        <w:t>（含通票，游览约1.5小时)，天坛修建于明朝永乐18年，是明、清两朝皇帝祭天、求雨和祈祷丰年的专用祭坛，也是保存完整、秩序鲜明的古代祭天建筑群。自明永乐十九年起始，共有22位皇帝亲御天坛，向皇天上帝顶礼膜拜，虔诚祭祀。</w:t>
      </w:r>
    </w:p>
    <w:p>
      <w:pPr>
        <w:spacing w:before="0" w:after="100" w:lineRule="auto" w:line="312"/>
      </w:pPr>
      <w:r>
        <w:rPr>
          <w:rFonts w:ascii="Microsoft YaHei" w:hAnsi="Microsoft YaHei" w:eastAsia="Microsoft YaHei" w:cs="Microsoft YaHei"/>
          <w:b w:val="0"/>
          <w:color w:val="C39A55"/>
          <w:sz w:val="17"/>
        </w:rPr>
        <w:t>资料时长：1.5小时（对客前复核）</w:t>
      </w:r>
    </w:p>
    <w:p>
      <w:pPr>
        <w:keepNext/>
        <w:jc w:val="center"/>
      </w:pPr>
      <w:r>
        <w:drawing>
          <wp:inline xmlns:a="http://schemas.openxmlformats.org/drawingml/2006/main" xmlns:pic="http://schemas.openxmlformats.org/drawingml/2006/picture">
            <wp:extent cx="5667166" cy="3780000"/>
            <wp:docPr id="6" name="Picture 6"/>
            <wp:cNvGraphicFramePr>
              <a:graphicFrameLocks noChangeAspect="1"/>
            </wp:cNvGraphicFramePr>
            <a:graphic>
              <a:graphicData uri="http://schemas.openxmlformats.org/drawingml/2006/picture">
                <pic:pic>
                  <pic:nvPicPr>
                    <pic:cNvPr id="0" name="05-place-04.jpg"/>
                    <pic:cNvPicPr/>
                  </pic:nvPicPr>
                  <pic:blipFill>
                    <a:blip r:embed="rId15"/>
                    <a:stretch>
                      <a:fillRect/>
                    </a:stretch>
                  </pic:blipFill>
                  <pic:spPr>
                    <a:xfrm>
                      <a:off x="0" y="0"/>
                      <a:ext cx="5667166" cy="3780000"/>
                    </a:xfrm>
                    <a:prstGeom prst="rect"/>
                  </pic:spPr>
                </pic:pic>
              </a:graphicData>
            </a:graphic>
          </wp:inline>
        </w:drawing>
      </w:r>
    </w:p>
    <w:p>
      <w:r>
        <w:br w:type="page"/>
      </w:r>
    </w:p>
    <w:tbl>
      <w:tblPr>
        <w:tblW w:type="auto" w:w="0"/>
        <w:jc w:val="center"/>
        <w:tblLayout w:type="fixed"/>
        <w:tblLook w:firstColumn="1" w:firstRow="1" w:lastColumn="0" w:lastRow="0" w:noHBand="0" w:noVBand="1" w:val="04A0"/>
      </w:tblPr>
      <w:tblGrid>
        <w:gridCol w:w="4989"/>
        <w:gridCol w:w="4989"/>
      </w:tblGrid>
      <w:tr>
        <w:tc>
          <w:tcPr>
            <w:tcW w:type="dxa" w:w="1134"/>
            <w:shd w:fill="A53A2B"/>
            <w:tcMar>
              <w:top w:w="170" w:type="dxa"/>
              <w:start w:w="220" w:type="dxa"/>
              <w:bottom w:w="170" w:type="dxa"/>
              <w:end w:w="220" w:type="dxa"/>
            </w:tcMar>
            <w:vAlign w:val="center"/>
          </w:tcPr>
          <w:p>
            <w:pPr>
              <w:spacing w:before="0" w:after="0" w:lineRule="auto" w:line="240"/>
              <w:jc w:val="center"/>
            </w:pPr>
            <w:r>
              <w:rPr>
                <w:rFonts w:ascii="Songti SC" w:hAnsi="Songti SC" w:eastAsia="Songti SC" w:cs="Songti SC"/>
                <w:b/>
                <w:color w:val="FFFFFF"/>
                <w:sz w:val="32"/>
              </w:rPr>
              <w:t>03</w:t>
            </w:r>
          </w:p>
        </w:tc>
        <w:tc>
          <w:tcPr>
            <w:tcW w:type="dxa" w:w="8844"/>
            <w:shd w:fill="E8DCC8"/>
            <w:tcMar>
              <w:top w:w="170" w:type="dxa"/>
              <w:start w:w="220" w:type="dxa"/>
              <w:bottom w:w="170" w:type="dxa"/>
              <w:end w:w="220" w:type="dxa"/>
            </w:tcMar>
            <w:vAlign w:val="center"/>
          </w:tcPr>
          <w:p>
            <w:pPr>
              <w:spacing w:before="0" w:after="40" w:lineRule="auto" w:line="240"/>
            </w:pPr>
            <w:r>
              <w:rPr>
                <w:rFonts w:ascii="Songti SC" w:hAnsi="Songti SC" w:eastAsia="Songti SC" w:cs="Songti SC"/>
                <w:b/>
                <w:color w:val="2B2420"/>
                <w:sz w:val="34"/>
              </w:rPr>
              <w:t>完整销售提案</w:t>
            </w:r>
          </w:p>
          <w:p>
            <w:pPr>
              <w:spacing w:before="0" w:after="0" w:lineRule="auto" w:line="240"/>
            </w:pPr>
            <w:r>
              <w:rPr>
                <w:rFonts w:ascii="Microsoft YaHei" w:hAnsi="Microsoft YaHei" w:eastAsia="Microsoft YaHei" w:cs="Microsoft YaHei"/>
                <w:b w:val="0"/>
                <w:color w:val="C39A55"/>
                <w:sz w:val="16"/>
              </w:rPr>
              <w:t>场景信息只使用可确认内容，缺项不猜测</w:t>
            </w:r>
          </w:p>
        </w:tc>
      </w:tr>
    </w:tbl>
    <w:p>
      <w:pPr>
        <w:spacing w:after="0"/>
      </w:pPr>
    </w:p>
    <w:tbl>
      <w:tblPr>
        <w:tblW w:type="auto" w:w="0"/>
        <w:jc w:val="center"/>
        <w:tblLayout w:type="fixed"/>
        <w:tblLook w:firstColumn="1" w:firstRow="1" w:lastColumn="0" w:lastRow="0" w:noHBand="0" w:noVBand="1" w:val="04A0"/>
      </w:tblPr>
      <w:tblGrid>
        <w:gridCol w:w="2268"/>
        <w:gridCol w:w="7710"/>
      </w:tblGrid>
      <w:tr>
        <w:trPr>
          <w:tblHeader w:val="true"/>
        </w:trPr>
        <w:tc>
          <w:tcPr>
            <w:tcW w:type="dxa" w:w="4989"/>
            <w:shd w:fill="2B2420"/>
            <w:tcMar>
              <w:top w:w="150" w:type="dxa"/>
              <w:start w:w="180" w:type="dxa"/>
              <w:bottom w:w="150" w:type="dxa"/>
              <w:end w:w="180" w:type="dxa"/>
            </w:tcMar>
          </w:tcPr>
          <w:p>
            <w:pPr>
              <w:spacing w:before="0" w:after="0" w:lineRule="auto" w:line="240"/>
            </w:pPr>
            <w:r>
              <w:rPr>
                <w:rFonts w:ascii="Microsoft YaHei" w:hAnsi="Microsoft YaHei" w:eastAsia="Microsoft YaHei" w:cs="Microsoft YaHei"/>
                <w:b/>
                <w:color w:val="FFFFFF"/>
                <w:sz w:val="18"/>
              </w:rPr>
              <w:t>项目</w:t>
            </w:r>
          </w:p>
        </w:tc>
        <w:tc>
          <w:tcPr>
            <w:tcW w:type="dxa" w:w="4989"/>
            <w:shd w:fill="2B2420"/>
            <w:tcMar>
              <w:top w:w="150" w:type="dxa"/>
              <w:start w:w="180" w:type="dxa"/>
              <w:bottom w:w="150" w:type="dxa"/>
              <w:end w:w="180" w:type="dxa"/>
            </w:tcMar>
          </w:tcPr>
          <w:p>
            <w:pPr>
              <w:spacing w:before="0" w:after="0" w:lineRule="auto" w:line="240"/>
            </w:pPr>
            <w:r>
              <w:rPr>
                <w:rFonts w:ascii="Microsoft YaHei" w:hAnsi="Microsoft YaHei" w:eastAsia="Microsoft YaHei" w:cs="Microsoft YaHei"/>
                <w:b/>
                <w:color w:val="FFFFFF"/>
                <w:sz w:val="18"/>
              </w:rPr>
              <w:t>当前内容</w:t>
            </w:r>
          </w:p>
        </w:tc>
      </w:tr>
      <w:tr>
        <w:tc>
          <w:tcPr>
            <w:tcW w:type="dxa" w:w="2268"/>
            <w:shd w:fill="E8DCC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color w:val="A53A2B"/>
                <w:sz w:val="17"/>
              </w:rPr>
              <w:t>产品概览</w:t>
            </w:r>
          </w:p>
        </w:tc>
        <w:tc>
          <w:tcPr>
            <w:tcW w:type="dxa" w:w="7710"/>
            <w:shd w:fill="E8DCC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val="0"/>
                <w:color w:val="2B2420"/>
                <w:sz w:val="18"/>
              </w:rPr>
              <w:t>从天安门、故宫到天坛，沿城市秩序阅读古都时间</w:t>
            </w:r>
          </w:p>
        </w:tc>
      </w:tr>
      <w:tr>
        <w:tc>
          <w:tcPr>
            <w:tcW w:type="dxa" w:w="226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color w:val="A53A2B"/>
                <w:sz w:val="17"/>
              </w:rPr>
              <w:t>重点场景</w:t>
            </w:r>
          </w:p>
        </w:tc>
        <w:tc>
          <w:tcPr>
            <w:tcW w:type="dxa" w:w="7710"/>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val="0"/>
                <w:color w:val="2B2420"/>
                <w:sz w:val="18"/>
              </w:rPr>
              <w:t>• 天安门广场</w:t>
              <w:br/>
              <w:t>• 故宫</w:t>
              <w:br/>
              <w:t>• 景山公园</w:t>
              <w:br/>
              <w:t>• 天坛公园</w:t>
            </w:r>
          </w:p>
        </w:tc>
      </w:tr>
      <w:tr>
        <w:tc>
          <w:tcPr>
            <w:tcW w:type="dxa" w:w="2268"/>
            <w:shd w:fill="E8DCC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color w:val="A53A2B"/>
                <w:sz w:val="17"/>
              </w:rPr>
              <w:t>行程状态</w:t>
            </w:r>
          </w:p>
        </w:tc>
        <w:tc>
          <w:tcPr>
            <w:tcW w:type="dxa" w:w="7710"/>
            <w:shd w:fill="E8DCC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val="0"/>
                <w:color w:val="2B2420"/>
                <w:sz w:val="18"/>
              </w:rPr>
              <w:t>本批次仅验证主题组合与版式，正式每日行程待核实</w:t>
            </w:r>
          </w:p>
        </w:tc>
      </w:tr>
      <w:tr>
        <w:tc>
          <w:tcPr>
            <w:tcW w:type="dxa" w:w="226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color w:val="A53A2B"/>
                <w:sz w:val="17"/>
              </w:rPr>
              <w:t>交通</w:t>
            </w:r>
          </w:p>
        </w:tc>
        <w:tc>
          <w:tcPr>
            <w:tcW w:type="dxa" w:w="7710"/>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val="0"/>
                <w:color w:val="2B2420"/>
                <w:sz w:val="18"/>
              </w:rPr>
              <w:t>待核实</w:t>
            </w:r>
          </w:p>
        </w:tc>
      </w:tr>
      <w:tr>
        <w:tc>
          <w:tcPr>
            <w:tcW w:type="dxa" w:w="2268"/>
            <w:shd w:fill="E8DCC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color w:val="A53A2B"/>
                <w:sz w:val="17"/>
              </w:rPr>
              <w:t>住宿</w:t>
            </w:r>
          </w:p>
        </w:tc>
        <w:tc>
          <w:tcPr>
            <w:tcW w:type="dxa" w:w="7710"/>
            <w:shd w:fill="E8DCC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val="0"/>
                <w:color w:val="2B2420"/>
                <w:sz w:val="18"/>
              </w:rPr>
              <w:t>待核实</w:t>
            </w:r>
          </w:p>
        </w:tc>
      </w:tr>
      <w:tr>
        <w:tc>
          <w:tcPr>
            <w:tcW w:type="dxa" w:w="226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color w:val="A53A2B"/>
                <w:sz w:val="17"/>
              </w:rPr>
              <w:t>餐食</w:t>
            </w:r>
          </w:p>
        </w:tc>
        <w:tc>
          <w:tcPr>
            <w:tcW w:type="dxa" w:w="7710"/>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val="0"/>
                <w:color w:val="2B2420"/>
                <w:sz w:val="18"/>
              </w:rPr>
              <w:t>待核实</w:t>
            </w:r>
          </w:p>
        </w:tc>
      </w:tr>
      <w:tr>
        <w:tc>
          <w:tcPr>
            <w:tcW w:type="dxa" w:w="2268"/>
            <w:shd w:fill="E8DCC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color w:val="A53A2B"/>
                <w:sz w:val="17"/>
              </w:rPr>
              <w:t>价格</w:t>
            </w:r>
          </w:p>
        </w:tc>
        <w:tc>
          <w:tcPr>
            <w:tcW w:type="dxa" w:w="7710"/>
            <w:shd w:fill="E8DCC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val="0"/>
                <w:color w:val="2B2420"/>
                <w:sz w:val="18"/>
              </w:rPr>
              <w:t>待核实</w:t>
            </w:r>
          </w:p>
        </w:tc>
      </w:tr>
      <w:tr>
        <w:tc>
          <w:tcPr>
            <w:tcW w:type="dxa" w:w="226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color w:val="A53A2B"/>
                <w:sz w:val="17"/>
              </w:rPr>
              <w:t>费用包含</w:t>
            </w:r>
          </w:p>
        </w:tc>
        <w:tc>
          <w:tcPr>
            <w:tcW w:type="dxa" w:w="7710"/>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val="0"/>
                <w:color w:val="2B2420"/>
                <w:sz w:val="18"/>
              </w:rPr>
              <w:t>待核实</w:t>
            </w:r>
          </w:p>
        </w:tc>
      </w:tr>
      <w:tr>
        <w:tc>
          <w:tcPr>
            <w:tcW w:type="dxa" w:w="2268"/>
            <w:shd w:fill="E8DCC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color w:val="A53A2B"/>
                <w:sz w:val="17"/>
              </w:rPr>
              <w:t>费用不含</w:t>
            </w:r>
          </w:p>
        </w:tc>
        <w:tc>
          <w:tcPr>
            <w:tcW w:type="dxa" w:w="7710"/>
            <w:shd w:fill="E8DCC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val="0"/>
                <w:color w:val="2B2420"/>
                <w:sz w:val="18"/>
              </w:rPr>
              <w:t>待核实</w:t>
            </w:r>
          </w:p>
        </w:tc>
      </w:tr>
      <w:tr>
        <w:tc>
          <w:tcPr>
            <w:tcW w:type="dxa" w:w="2268"/>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color w:val="A53A2B"/>
                <w:sz w:val="17"/>
              </w:rPr>
              <w:t>下一步</w:t>
            </w:r>
          </w:p>
        </w:tc>
        <w:tc>
          <w:tcPr>
            <w:tcW w:type="dxa" w:w="7710"/>
            <w:tcMar>
              <w:top w:w="130" w:type="dxa"/>
              <w:start w:w="180" w:type="dxa"/>
              <w:bottom w:w="130" w:type="dxa"/>
              <w:end w:w="180" w:type="dxa"/>
            </w:tcMar>
            <w:tcBorders>
              <w:top w:val="single" w:sz="3" w:color="E8DCC8"/>
              <w:left w:val="single" w:sz="3" w:color="E8DCC8"/>
              <w:bottom w:val="single" w:sz="3" w:color="E8DCC8"/>
              <w:right w:val="single" w:sz="3" w:color="E8DCC8"/>
            </w:tcBorders>
          </w:tcPr>
          <w:p>
            <w:r>
              <w:rPr>
                <w:rFonts w:ascii="Microsoft YaHei" w:hAnsi="Microsoft YaHei" w:eastAsia="Microsoft YaHei" w:cs="Microsoft YaHei"/>
                <w:b w:val="0"/>
                <w:color w:val="2B2420"/>
                <w:sz w:val="18"/>
              </w:rPr>
              <w:t>正式班期、报价与联系方式待产品确认后补充</w:t>
            </w:r>
          </w:p>
        </w:tc>
      </w:tr>
    </w:tbl>
    <w:p/>
    <w:tbl>
      <w:tblPr>
        <w:tblW w:type="auto" w:w="0"/>
        <w:jc w:val="center"/>
        <w:tblLook w:firstColumn="1" w:firstRow="1" w:lastColumn="0" w:lastRow="0" w:noHBand="0" w:noVBand="1" w:val="04A0"/>
      </w:tblPr>
      <w:tblGrid>
        <w:gridCol w:w="9978"/>
      </w:tblGrid>
      <w:tr>
        <w:tc>
          <w:tcPr>
            <w:tcW w:type="dxa" w:w="9978"/>
            <w:shd w:fill="E8DCC8"/>
            <w:tcMar>
              <w:top w:w="210" w:type="dxa"/>
              <w:start w:w="260" w:type="dxa"/>
              <w:bottom w:w="210" w:type="dxa"/>
              <w:end w:w="260" w:type="dxa"/>
            </w:tcMar>
            <w:tcBorders>
              <w:left w:val="single" w:sz="12" w:color="A53A2B"/>
            </w:tcBorders>
          </w:tcPr>
          <w:p>
            <w:pPr>
              <w:spacing w:before="0" w:after="100" w:lineRule="auto" w:line="240"/>
            </w:pPr>
            <w:r>
              <w:rPr>
                <w:rFonts w:ascii="Microsoft YaHei" w:hAnsi="Microsoft YaHei" w:eastAsia="Microsoft YaHei" w:cs="Microsoft YaHei"/>
                <w:b/>
                <w:color w:val="A53A2B"/>
                <w:sz w:val="20"/>
              </w:rPr>
              <w:t>对客前核验清单</w:t>
            </w:r>
          </w:p>
          <w:p>
            <w:pPr>
              <w:spacing w:before="0" w:after="0" w:lineRule="auto" w:line="324"/>
            </w:pPr>
            <w:r>
              <w:rPr>
                <w:rFonts w:ascii="Microsoft YaHei" w:hAnsi="Microsoft YaHei" w:eastAsia="Microsoft YaHei" w:cs="Microsoft YaHei"/>
                <w:b/>
                <w:color w:val="2B2420"/>
                <w:sz w:val="18"/>
              </w:rPr>
              <w:t>价格：待核实  ｜  日期：待核实  ｜  交通：待核实  ｜  住宿：待核实  ｜  餐食：待核实</w:t>
              <w:br/>
              <w:t>门票与政策：待核实  ｜  联系方式：待核实  ｜  具体服务与资质：待核实</w:t>
            </w:r>
          </w:p>
        </w:tc>
      </w:tr>
    </w:tbl>
    <w:p>
      <w:pPr>
        <w:pStyle w:val="ListBullet"/>
        <w:spacing w:before="0" w:after="60" w:lineRule="auto" w:line="312"/>
      </w:pPr>
      <w:r>
        <w:rPr>
          <w:rFonts w:ascii="Microsoft YaHei" w:hAnsi="Microsoft YaHei" w:eastAsia="Microsoft YaHei" w:cs="Microsoft YaHei"/>
          <w:b w:val="0"/>
          <w:color w:val="666666"/>
          <w:sz w:val="17"/>
        </w:rPr>
        <w:t>本页为主题组合与视觉样式预览，不代表已经形成可售班期。</w:t>
      </w:r>
    </w:p>
    <w:p>
      <w:pPr>
        <w:pStyle w:val="ListBullet"/>
        <w:spacing w:before="0" w:after="60" w:lineRule="auto" w:line="312"/>
      </w:pPr>
      <w:r>
        <w:rPr>
          <w:rFonts w:ascii="Microsoft YaHei" w:hAnsi="Microsoft YaHei" w:eastAsia="Microsoft YaHei" w:cs="Microsoft YaHei"/>
          <w:b w:val="0"/>
          <w:color w:val="666666"/>
          <w:sz w:val="17"/>
        </w:rPr>
        <w:t>价格、日期、住宿、交通、餐食、门票、联系方式和动态政策均须在对客前复核。</w:t>
      </w:r>
    </w:p>
    <w:sectPr w:rsidR="00FC693F" w:rsidRPr="0006063C" w:rsidSect="00034616">
      <w:headerReference w:type="default" r:id="rId9"/>
      <w:footerReference w:type="default" r:id="rId10"/>
      <w:pgSz w:w="11906" w:h="16838"/>
      <w:pgMar w:top="907" w:right="964" w:bottom="907" w:left="964"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Rule="auto" w:line="240"/>
      <w:jc w:val="center"/>
    </w:pPr>
    <w:r>
      <w:rPr>
        <w:rFonts w:ascii="Microsoft YaHei" w:hAnsi="Microsoft YaHei" w:eastAsia="Microsoft YaHei"/>
        <w:b w:val="0"/>
        <w:i w:val="0"/>
        <w:color w:val="777777"/>
        <w:sz w:val="16"/>
      </w:rPr>
      <w:t xml:space="preserve">PAGE </w:t>
      <w:fldChar w:fldCharType="begin"/>
      <w:instrText xml:space="preserve"> PAGE </w:instrText>
      <w:fldChar w:fldCharType="end"/>
    </w:r>
    <w:r>
      <w:rPr>
        <w:rFonts w:ascii="Microsoft YaHei" w:hAnsi="Microsoft YaHei" w:eastAsia="Microsoft YaHei" w:cs="Microsoft YaHei"/>
        <w:b w:val="0"/>
        <w:color w:val="777777"/>
        <w:sz w:val="15"/>
      </w:rPr>
      <w:t>主题组合预览  ·  动态业务信息请在对客前复核</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Rule="auto" w:line="240"/>
      <w:jc w:val="right"/>
    </w:pPr>
    <w:r>
      <w:rPr>
        <w:rFonts w:ascii="Microsoft YaHei" w:hAnsi="Microsoft YaHei" w:eastAsia="Microsoft YaHei"/>
        <w:b/>
        <w:i w:val="0"/>
        <w:color w:val="C39A55"/>
        <w:sz w:val="16"/>
      </w:rPr>
      <w:t>京华长卷旅行模板  ·  HTML + WORD</w:t>
    </w:r>
    <w:r>
      <w:rPr>
        <w:rFonts w:ascii="Microsoft YaHei" w:hAnsi="Microsoft YaHei" w:eastAsia="Microsoft YaHei" w:cs="Microsoft YaHei"/>
        <w:b/>
        <w:color w:val="C39A55"/>
        <w:sz w:val="16"/>
      </w:rPr>
      <w:t>北京  ·  皇家长卷</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Microsoft YaHei" w:hAnsi="Microsoft YaHei" w:eastAsia="Microsoft YaHei" w:cs="Microsoft YaHei"/>
      <w:color w:val="2B24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Songti SC" w:hAnsi="Songti SC" w:eastAsia="Songti SC" w:cs="Songti SC"/>
      <w:b/>
      <w:bCs/>
      <w:color w:val="2B2420"/>
      <w:sz w:val="40"/>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Songti SC" w:hAnsi="Songti SC" w:eastAsia="Songti SC" w:cs="Songti SC"/>
      <w:b/>
      <w:bCs/>
      <w:color w:val="2B2420"/>
      <w:sz w:val="28"/>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Microsoft YaHei" w:hAnsi="Microsoft YaHei" w:eastAsia="Microsoft YaHei"/>
      <w:b/>
      <w:bCs/>
      <w:color w:val="A53A2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Songti SC" w:hAnsi="Songti SC" w:eastAsia="Songti SC" w:cs="Songti SC"/>
      <w:color w:val="2B242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京城中轴·皇家长卷</dc:title>
  <dc:subject>北京旅游主题组合与视觉预览</dc:subject>
  <dc:creator>老方旅游内容工作流</dc:creator>
  <cp:keywords/>
  <dc:description>由本地资料生成；动态业务信息须在对客前核实。</dc:description>
  <cp:lastModifiedBy/>
  <cp:revision>1</cp:revision>
  <dcterms:created xsi:type="dcterms:W3CDTF">2013-12-23T23:15:00Z</dcterms:created>
  <dcterms:modified xsi:type="dcterms:W3CDTF">2013-12-23T23:15:00Z</dcterms:modified>
  <cp:category/>
</cp:coreProperties>
</file>