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978"/>
      </w:tblGrid>
      <w:tr>
        <w:tc>
          <w:tcPr>
            <w:tcW w:type="dxa" w:w="9978"/>
            <w:vAlign w:val="center"/>
            <w:shd w:fill="E6D6C3"/>
            <w:tcMar>
              <w:top w:w="360" w:type="dxa"/>
              <w:start w:w="420" w:type="dxa"/>
              <w:bottom w:w="360" w:type="dxa"/>
              <w:end w:w="420" w:type="dxa"/>
            </w:tcMar>
            <w:tcBorders>
              <w:left w:val="single" w:sz="18" w:color="9A3D34"/>
            </w:tcBorders>
          </w:tcPr>
          <w:p>
            <w:pPr>
              <w:spacing w:before="0" w:after="200" w:lineRule="auto" w:line="240"/>
            </w:pPr>
            <w:r>
              <w:rPr>
                <w:rFonts w:ascii="Microsoft YaHei" w:hAnsi="Microsoft YaHei" w:eastAsia="Microsoft YaHei" w:cs="Microsoft YaHei"/>
                <w:b/>
                <w:color w:val="9A3D34"/>
                <w:sz w:val="18"/>
              </w:rPr>
              <w:t>VOL. 03  /  北京 DESTINATION SERIES</w:t>
            </w:r>
          </w:p>
          <w:p>
            <w:pPr>
              <w:spacing w:before="0" w:after="160" w:lineRule="auto" w:line="252"/>
            </w:pPr>
            <w:r>
              <w:rPr>
                <w:rFonts w:ascii="Songti SC" w:hAnsi="Songti SC" w:eastAsia="Songti SC" w:cs="Songti SC"/>
                <w:b/>
                <w:color w:val="382C27"/>
                <w:sz w:val="58"/>
              </w:rPr>
              <w:t>博物馆之城·人文典藏</w:t>
            </w:r>
          </w:p>
          <w:p>
            <w:pPr>
              <w:spacing w:before="0" w:after="240" w:lineRule="auto" w:line="324"/>
            </w:pPr>
            <w:r>
              <w:rPr>
                <w:rFonts w:ascii="Microsoft YaHei" w:hAnsi="Microsoft YaHei" w:eastAsia="Microsoft YaHei" w:cs="Microsoft YaHei"/>
                <w:b w:val="0"/>
                <w:color w:val="382C27"/>
                <w:sz w:val="22"/>
              </w:rPr>
              <w:t>以建筑、器物和历史空间，建立可收藏的北京人文索引</w:t>
            </w:r>
          </w:p>
          <w:p>
            <w:pPr>
              <w:spacing w:before="0" w:after="0" w:lineRule="auto" w:line="288"/>
            </w:pPr>
            <w:r>
              <w:rPr>
                <w:rFonts w:ascii="Microsoft YaHei" w:hAnsi="Microsoft YaHei" w:eastAsia="Microsoft YaHei" w:cs="Microsoft YaHei"/>
                <w:b/>
                <w:color w:val="B89355"/>
                <w:sz w:val="17"/>
              </w:rPr>
              <w:t>完整销售提案   ×   人文典藏   ×   主题组合示意</w:t>
            </w:r>
          </w:p>
        </w:tc>
      </w:tr>
    </w:tbl>
    <w:p/>
    <w:p>
      <w:pPr>
        <w:keepNext/>
        <w:jc w:val="center"/>
      </w:pPr>
      <w:r>
        <w:drawing>
          <wp:inline xmlns:a="http://schemas.openxmlformats.org/drawingml/2006/main" xmlns:pic="http://schemas.openxmlformats.org/drawingml/2006/picture">
            <wp:extent cx="6336000" cy="4221360"/>
            <wp:docPr id="1" name="Picture 1"/>
            <wp:cNvGraphicFramePr>
              <a:graphicFrameLocks noChangeAspect="1"/>
            </wp:cNvGraphicFramePr>
            <a:graphic>
              <a:graphicData uri="http://schemas.openxmlformats.org/drawingml/2006/picture">
                <pic:pic>
                  <pic:nvPicPr>
                    <pic:cNvPr id="0" name="01-place-01.jpg"/>
                    <pic:cNvPicPr/>
                  </pic:nvPicPr>
                  <pic:blipFill>
                    <a:blip r:embed="rId11"/>
                    <a:stretch>
                      <a:fillRect/>
                    </a:stretch>
                  </pic:blipFill>
                  <pic:spPr>
                    <a:xfrm>
                      <a:off x="0" y="0"/>
                      <a:ext cx="6336000" cy="4221360"/>
                    </a:xfrm>
                    <a:prstGeom prst="rect"/>
                  </pic:spPr>
                </pic:pic>
              </a:graphicData>
            </a:graphic>
          </wp:inline>
        </w:drawing>
      </w:r>
    </w:p>
    <w:p>
      <w:pPr>
        <w:spacing w:before="160" w:after="100" w:lineRule="auto" w:line="288"/>
        <w:jc w:val="center"/>
      </w:pPr>
      <w:r>
        <w:rPr>
          <w:rFonts w:ascii="Microsoft YaHei" w:hAnsi="Microsoft YaHei" w:eastAsia="Microsoft YaHei" w:cs="Microsoft YaHei"/>
          <w:b/>
          <w:color w:val="B89355"/>
          <w:sz w:val="18"/>
        </w:rPr>
        <w:t>故宫 · 恭王府 · 圆明园 · 军博</w:t>
      </w:r>
    </w:p>
    <w:p>
      <w:pPr>
        <w:spacing w:before="0" w:after="0" w:lineRule="auto" w:line="288"/>
        <w:jc w:val="center"/>
      </w:pPr>
      <w:r>
        <w:rPr>
          <w:rFonts w:ascii="Microsoft YaHei" w:hAnsi="Microsoft YaHei" w:eastAsia="Microsoft YaHei" w:cs="Microsoft YaHei"/>
          <w:b w:val="0"/>
          <w:color w:val="777777"/>
          <w:sz w:val="17"/>
        </w:rPr>
        <w:t>本册用于主题组合与视觉样式预览；价格、日期、住宿、交通等动态信息均为待核实。</w:t>
      </w:r>
    </w:p>
    <w:p>
      <w:r>
        <w:br w:type="page"/>
      </w:r>
    </w:p>
    <w:tbl>
      <w:tblPr>
        <w:tblW w:type="auto" w:w="0"/>
        <w:jc w:val="left"/>
        <w:tblLayout w:type="fixed"/>
        <w:tblLook w:firstColumn="1" w:firstRow="1" w:lastColumn="0" w:lastRow="0" w:noHBand="0" w:noVBand="1" w:val="04A0"/>
      </w:tblPr>
      <w:tblGrid>
        <w:gridCol w:w="4989"/>
        <w:gridCol w:w="4989"/>
      </w:tblGrid>
      <w:tr>
        <w:tc>
          <w:tcPr>
            <w:tcW w:type="dxa" w:w="1134"/>
            <w:shd w:fill="9A3D34"/>
            <w:tcMar>
              <w:top w:w="170" w:type="dxa"/>
              <w:start w:w="220" w:type="dxa"/>
              <w:bottom w:w="170" w:type="dxa"/>
              <w:end w:w="220" w:type="dxa"/>
            </w:tcMar>
            <w:vAlign w:val="center"/>
          </w:tcPr>
          <w:p>
            <w:pPr>
              <w:spacing w:before="0" w:after="0" w:lineRule="auto" w:line="240"/>
              <w:jc w:val="center"/>
            </w:pPr>
            <w:r>
              <w:rPr>
                <w:rFonts w:ascii="Songti SC" w:hAnsi="Songti SC" w:eastAsia="Songti SC" w:cs="Songti SC"/>
                <w:b/>
                <w:color w:val="FFFFFF"/>
                <w:sz w:val="32"/>
              </w:rPr>
              <w:t>01</w:t>
            </w:r>
          </w:p>
        </w:tc>
        <w:tc>
          <w:tcPr>
            <w:tcW w:type="dxa" w:w="8844"/>
            <w:shd w:fill="E6D6C3"/>
            <w:tcMar>
              <w:top w:w="170" w:type="dxa"/>
              <w:start w:w="220" w:type="dxa"/>
              <w:bottom w:w="170" w:type="dxa"/>
              <w:end w:w="220" w:type="dxa"/>
            </w:tcMar>
            <w:vAlign w:val="center"/>
          </w:tcPr>
          <w:p>
            <w:pPr>
              <w:spacing w:before="0" w:after="40" w:lineRule="auto" w:line="240"/>
            </w:pPr>
            <w:r>
              <w:rPr>
                <w:rFonts w:ascii="Songti SC" w:hAnsi="Songti SC" w:eastAsia="Songti SC" w:cs="Songti SC"/>
                <w:b/>
                <w:color w:val="382C27"/>
                <w:sz w:val="34"/>
              </w:rPr>
              <w:t>主题线路图</w:t>
            </w:r>
          </w:p>
          <w:p>
            <w:pPr>
              <w:spacing w:before="0" w:after="0" w:lineRule="auto" w:line="240"/>
            </w:pPr>
            <w:r>
              <w:rPr>
                <w:rFonts w:ascii="Microsoft YaHei" w:hAnsi="Microsoft YaHei" w:eastAsia="Microsoft YaHei" w:cs="Microsoft YaHei"/>
                <w:b w:val="0"/>
                <w:color w:val="B89355"/>
                <w:sz w:val="16"/>
              </w:rPr>
              <w:t>地点连线、每日颜色、交通距离与时间一图呈现</w:t>
            </w:r>
          </w:p>
        </w:tc>
      </w:tr>
    </w:tbl>
    <w:p>
      <w:pPr>
        <w:spacing w:after="0"/>
      </w:pPr>
    </w:p>
    <w:p>
      <w:pPr>
        <w:keepNext/>
        <w:jc w:val="center"/>
      </w:pPr>
      <w:r>
        <w:drawing>
          <wp:inline xmlns:a="http://schemas.openxmlformats.org/drawingml/2006/main" xmlns:pic="http://schemas.openxmlformats.org/drawingml/2006/picture">
            <wp:extent cx="6048000" cy="7826824"/>
            <wp:docPr id="2" name="Picture 2"/>
            <wp:cNvGraphicFramePr>
              <a:graphicFrameLocks noChangeAspect="1"/>
            </wp:cNvGraphicFramePr>
            <a:graphic>
              <a:graphicData uri="http://schemas.openxmlformats.org/drawingml/2006/picture">
                <pic:pic>
                  <pic:nvPicPr>
                    <pic:cNvPr id="0" name="route-map.png"/>
                    <pic:cNvPicPr/>
                  </pic:nvPicPr>
                  <pic:blipFill>
                    <a:blip r:embed="rId12"/>
                    <a:stretch>
                      <a:fillRect/>
                    </a:stretch>
                  </pic:blipFill>
                  <pic:spPr>
                    <a:xfrm>
                      <a:off x="0" y="0"/>
                      <a:ext cx="6048000" cy="7826824"/>
                    </a:xfrm>
                    <a:prstGeom prst="rect"/>
                  </pic:spPr>
                </pic:pic>
              </a:graphicData>
            </a:graphic>
          </wp:inline>
        </w:drawing>
      </w:r>
    </w:p>
    <w:p>
      <w:pPr>
        <w:spacing w:before="80" w:after="200" w:lineRule="auto" w:line="312"/>
      </w:pPr>
      <w:r>
        <w:rPr>
          <w:rFonts w:ascii="Microsoft YaHei" w:hAnsi="Microsoft YaHei" w:eastAsia="Microsoft YaHei" w:cs="Microsoft YaHei"/>
          <w:b/>
          <w:color w:val="B89355"/>
          <w:sz w:val="17"/>
        </w:rPr>
        <w:t>景点间距离与时间按制作时路线查询结果整理，均为预计值</w:t>
      </w:r>
    </w:p>
    <w:p>
      <w:pPr>
        <w:keepNext/>
        <w:spacing w:before="100" w:after="100" w:lineRule="auto" w:line="240"/>
      </w:pPr>
      <w:r>
        <w:rPr>
          <w:rFonts w:ascii="Songti SC" w:hAnsi="Songti SC" w:eastAsia="Songti SC" w:cs="Songti SC"/>
          <w:b/>
          <w:color w:val="382C27"/>
          <w:sz w:val="26"/>
        </w:rPr>
        <w:t>每日线路与交通（原生可编辑）</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1020"/>
            <w:shd w:fill="382C27"/>
            <w:tcMar>
              <w:top w:w="120" w:type="dxa"/>
              <w:start w:w="120" w:type="dxa"/>
              <w:bottom w:w="120" w:type="dxa"/>
              <w:end w:w="120" w:type="dxa"/>
            </w:tcMar>
          </w:tcPr>
          <w:p>
            <w:pPr>
              <w:jc w:val="center"/>
            </w:pPr>
            <w:r>
              <w:rPr>
                <w:rFonts w:ascii="Microsoft YaHei" w:hAnsi="Microsoft YaHei" w:eastAsia="Microsoft YaHei" w:cs="Microsoft YaHei"/>
                <w:b/>
                <w:color w:val="FFFFFF"/>
                <w:sz w:val="16"/>
              </w:rPr>
              <w:t>天数</w:t>
            </w:r>
          </w:p>
        </w:tc>
        <w:tc>
          <w:tcPr>
            <w:tcW w:type="dxa" w:w="2835"/>
            <w:shd w:fill="382C27"/>
            <w:tcMar>
              <w:top w:w="120" w:type="dxa"/>
              <w:start w:w="120" w:type="dxa"/>
              <w:bottom w:w="120" w:type="dxa"/>
              <w:end w:w="120" w:type="dxa"/>
            </w:tcMar>
          </w:tcPr>
          <w:p>
            <w:pPr>
              <w:jc w:val="center"/>
            </w:pPr>
            <w:r>
              <w:rPr>
                <w:rFonts w:ascii="Microsoft YaHei" w:hAnsi="Microsoft YaHei" w:eastAsia="Microsoft YaHei" w:cs="Microsoft YaHei"/>
                <w:b/>
                <w:color w:val="FFFFFF"/>
                <w:sz w:val="16"/>
              </w:rPr>
              <w:t>线路</w:t>
            </w:r>
          </w:p>
        </w:tc>
        <w:tc>
          <w:tcPr>
            <w:tcW w:type="dxa" w:w="1701"/>
            <w:shd w:fill="382C27"/>
            <w:tcMar>
              <w:top w:w="120" w:type="dxa"/>
              <w:start w:w="120" w:type="dxa"/>
              <w:bottom w:w="120" w:type="dxa"/>
              <w:end w:w="120" w:type="dxa"/>
            </w:tcMar>
          </w:tcPr>
          <w:p>
            <w:pPr>
              <w:jc w:val="center"/>
            </w:pPr>
            <w:r>
              <w:rPr>
                <w:rFonts w:ascii="Microsoft YaHei" w:hAnsi="Microsoft YaHei" w:eastAsia="Microsoft YaHei" w:cs="Microsoft YaHei"/>
                <w:b/>
                <w:color w:val="FFFFFF"/>
                <w:sz w:val="16"/>
              </w:rPr>
              <w:t>交通</w:t>
            </w:r>
          </w:p>
        </w:tc>
        <w:tc>
          <w:tcPr>
            <w:tcW w:type="dxa" w:w="2438"/>
            <w:shd w:fill="382C27"/>
            <w:tcMar>
              <w:top w:w="120" w:type="dxa"/>
              <w:start w:w="120" w:type="dxa"/>
              <w:bottom w:w="120" w:type="dxa"/>
              <w:end w:w="120" w:type="dxa"/>
            </w:tcMar>
          </w:tcPr>
          <w:p>
            <w:pPr>
              <w:jc w:val="center"/>
            </w:pPr>
            <w:r>
              <w:rPr>
                <w:rFonts w:ascii="Microsoft YaHei" w:hAnsi="Microsoft YaHei" w:eastAsia="Microsoft YaHei" w:cs="Microsoft YaHei"/>
                <w:b/>
                <w:color w:val="FFFFFF"/>
                <w:sz w:val="16"/>
              </w:rPr>
              <w:t>距离 / 时间</w:t>
            </w:r>
          </w:p>
        </w:tc>
        <w:tc>
          <w:tcPr>
            <w:tcW w:type="dxa" w:w="1984"/>
            <w:shd w:fill="382C27"/>
            <w:tcMar>
              <w:top w:w="120" w:type="dxa"/>
              <w:start w:w="120" w:type="dxa"/>
              <w:bottom w:w="120" w:type="dxa"/>
              <w:end w:w="120" w:type="dxa"/>
            </w:tcMar>
          </w:tcPr>
          <w:p>
            <w:pPr>
              <w:jc w:val="center"/>
            </w:pPr>
            <w:r>
              <w:rPr>
                <w:rFonts w:ascii="Microsoft YaHei" w:hAnsi="Microsoft YaHei" w:eastAsia="Microsoft YaHei" w:cs="Microsoft YaHei"/>
                <w:b/>
                <w:color w:val="FFFFFF"/>
                <w:sz w:val="16"/>
              </w:rPr>
              <w:t>住宿</w:t>
            </w:r>
          </w:p>
        </w:tc>
      </w:tr>
      <w:tr>
        <w:tc>
          <w:tcPr>
            <w:tcW w:type="dxa" w:w="1020"/>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color w:val="382C27"/>
                <w:sz w:val="16"/>
              </w:rPr>
              <w:t>D1</w:t>
            </w:r>
          </w:p>
        </w:tc>
        <w:tc>
          <w:tcPr>
            <w:tcW w:type="dxa" w:w="2835"/>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故宫</w:t>
            </w:r>
          </w:p>
        </w:tc>
        <w:tc>
          <w:tcPr>
            <w:tcW w:type="dxa" w:w="1701"/>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抵达日</w:t>
            </w:r>
          </w:p>
        </w:tc>
        <w:tc>
          <w:tcPr>
            <w:tcW w:type="dxa" w:w="2438"/>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待核实</w:t>
            </w:r>
          </w:p>
        </w:tc>
        <w:tc>
          <w:tcPr>
            <w:tcW w:type="dxa" w:w="1984"/>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待核实</w:t>
            </w:r>
          </w:p>
        </w:tc>
      </w:tr>
      <w:tr>
        <w:tc>
          <w:tcPr>
            <w:tcW w:type="dxa" w:w="1020"/>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color w:val="382C27"/>
                <w:sz w:val="16"/>
              </w:rPr>
              <w:t>D2</w:t>
            </w:r>
          </w:p>
        </w:tc>
        <w:tc>
          <w:tcPr>
            <w:tcW w:type="dxa" w:w="2835"/>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恭王府</w:t>
            </w:r>
          </w:p>
        </w:tc>
        <w:tc>
          <w:tcPr>
            <w:tcW w:type="dxa" w:w="1701"/>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驾车</w:t>
            </w:r>
          </w:p>
        </w:tc>
        <w:tc>
          <w:tcPr>
            <w:tcW w:type="dxa" w:w="2438"/>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约4.9km · 预计7分钟</w:t>
            </w:r>
          </w:p>
        </w:tc>
        <w:tc>
          <w:tcPr>
            <w:tcW w:type="dxa" w:w="1984"/>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待核实</w:t>
            </w:r>
          </w:p>
        </w:tc>
      </w:tr>
      <w:tr>
        <w:tc>
          <w:tcPr>
            <w:tcW w:type="dxa" w:w="1020"/>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color w:val="382C27"/>
                <w:sz w:val="16"/>
              </w:rPr>
              <w:t>D3</w:t>
            </w:r>
          </w:p>
        </w:tc>
        <w:tc>
          <w:tcPr>
            <w:tcW w:type="dxa" w:w="2835"/>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圆明园</w:t>
            </w:r>
          </w:p>
        </w:tc>
        <w:tc>
          <w:tcPr>
            <w:tcW w:type="dxa" w:w="1701"/>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驾车</w:t>
            </w:r>
          </w:p>
        </w:tc>
        <w:tc>
          <w:tcPr>
            <w:tcW w:type="dxa" w:w="2438"/>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约13.3km · 预计15分钟</w:t>
            </w:r>
          </w:p>
        </w:tc>
        <w:tc>
          <w:tcPr>
            <w:tcW w:type="dxa" w:w="1984"/>
            <w:shd w:fill="E6D6C3"/>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待核实</w:t>
            </w:r>
          </w:p>
        </w:tc>
      </w:tr>
      <w:tr>
        <w:tc>
          <w:tcPr>
            <w:tcW w:type="dxa" w:w="1020"/>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color w:val="382C27"/>
                <w:sz w:val="16"/>
              </w:rPr>
              <w:t>D4</w:t>
            </w:r>
          </w:p>
        </w:tc>
        <w:tc>
          <w:tcPr>
            <w:tcW w:type="dxa" w:w="2835"/>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军博</w:t>
            </w:r>
          </w:p>
        </w:tc>
        <w:tc>
          <w:tcPr>
            <w:tcW w:type="dxa" w:w="1701"/>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驾车</w:t>
            </w:r>
          </w:p>
        </w:tc>
        <w:tc>
          <w:tcPr>
            <w:tcW w:type="dxa" w:w="2438"/>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约13.2km · 预计12分钟</w:t>
            </w:r>
          </w:p>
        </w:tc>
        <w:tc>
          <w:tcPr>
            <w:tcW w:type="dxa" w:w="1984"/>
            <w:tcMar>
              <w:top w:w="115" w:type="dxa"/>
              <w:start w:w="120" w:type="dxa"/>
              <w:bottom w:w="115" w:type="dxa"/>
              <w:end w:w="120" w:type="dxa"/>
            </w:tcMar>
            <w:tcBorders>
              <w:top w:val="single" w:sz="3" w:color="E6D6C3"/>
              <w:left w:val="single" w:sz="3" w:color="E6D6C3"/>
              <w:bottom w:val="single" w:sz="3" w:color="E6D6C3"/>
              <w:right w:val="single" w:sz="3" w:color="E6D6C3"/>
            </w:tcBorders>
            <w:vAlign w:val="center"/>
          </w:tcPr>
          <w:p>
            <w:r>
              <w:rPr>
                <w:rFonts w:ascii="Microsoft YaHei" w:hAnsi="Microsoft YaHei" w:eastAsia="Microsoft YaHei" w:cs="Microsoft YaHei"/>
                <w:b w:val="0"/>
                <w:color w:val="382C27"/>
                <w:sz w:val="16"/>
              </w:rPr>
              <w:t>待核实</w:t>
            </w:r>
          </w:p>
        </w:tc>
      </w:tr>
    </w:tbl>
    <w:p>
      <w:pPr>
        <w:spacing w:before="140" w:after="0" w:lineRule="auto" w:line="312"/>
      </w:pPr>
      <w:r>
        <w:rPr>
          <w:rFonts w:ascii="Microsoft YaHei" w:hAnsi="Microsoft YaHei" w:eastAsia="Microsoft YaHei" w:cs="Microsoft YaHei"/>
          <w:b w:val="0"/>
          <w:color w:val="777777"/>
          <w:sz w:val="16"/>
        </w:rPr>
        <w:t>样式与规划展示，正式产品以最终确认为准</w:t>
      </w:r>
    </w:p>
    <w:p>
      <w:r>
        <w:br w:type="page"/>
      </w:r>
    </w:p>
    <w:tbl>
      <w:tblPr>
        <w:tblW w:type="auto" w:w="0"/>
        <w:jc w:val="left"/>
        <w:tblLayout w:type="fixed"/>
        <w:tblLook w:firstColumn="1" w:firstRow="1" w:lastColumn="0" w:lastRow="0" w:noHBand="0" w:noVBand="1" w:val="04A0"/>
      </w:tblPr>
      <w:tblGrid>
        <w:gridCol w:w="4989"/>
        <w:gridCol w:w="4989"/>
      </w:tblGrid>
      <w:tr>
        <w:tc>
          <w:tcPr>
            <w:tcW w:type="dxa" w:w="1134"/>
            <w:shd w:fill="9A3D34"/>
            <w:tcMar>
              <w:top w:w="170" w:type="dxa"/>
              <w:start w:w="220" w:type="dxa"/>
              <w:bottom w:w="170" w:type="dxa"/>
              <w:end w:w="220" w:type="dxa"/>
            </w:tcMar>
            <w:vAlign w:val="center"/>
          </w:tcPr>
          <w:p>
            <w:pPr>
              <w:spacing w:before="0" w:after="0" w:lineRule="auto" w:line="240"/>
              <w:jc w:val="center"/>
            </w:pPr>
            <w:r>
              <w:rPr>
                <w:rFonts w:ascii="Songti SC" w:hAnsi="Songti SC" w:eastAsia="Songti SC" w:cs="Songti SC"/>
                <w:b/>
                <w:color w:val="FFFFFF"/>
                <w:sz w:val="32"/>
              </w:rPr>
              <w:t>02</w:t>
            </w:r>
          </w:p>
        </w:tc>
        <w:tc>
          <w:tcPr>
            <w:tcW w:type="dxa" w:w="8844"/>
            <w:shd w:fill="E6D6C3"/>
            <w:tcMar>
              <w:top w:w="170" w:type="dxa"/>
              <w:start w:w="220" w:type="dxa"/>
              <w:bottom w:w="170" w:type="dxa"/>
              <w:end w:w="220" w:type="dxa"/>
            </w:tcMar>
            <w:vAlign w:val="center"/>
          </w:tcPr>
          <w:p>
            <w:pPr>
              <w:spacing w:before="0" w:after="40" w:lineRule="auto" w:line="240"/>
            </w:pPr>
            <w:r>
              <w:rPr>
                <w:rFonts w:ascii="Songti SC" w:hAnsi="Songti SC" w:eastAsia="Songti SC" w:cs="Songti SC"/>
                <w:b/>
                <w:color w:val="382C27"/>
                <w:sz w:val="34"/>
              </w:rPr>
              <w:t>景点章节</w:t>
            </w:r>
          </w:p>
          <w:p>
            <w:pPr>
              <w:spacing w:before="0" w:after="0" w:lineRule="auto" w:line="240"/>
            </w:pPr>
            <w:r>
              <w:rPr>
                <w:rFonts w:ascii="Microsoft YaHei" w:hAnsi="Microsoft YaHei" w:eastAsia="Microsoft YaHei" w:cs="Microsoft YaHei"/>
                <w:b w:val="0"/>
                <w:color w:val="B89355"/>
                <w:sz w:val="16"/>
              </w:rPr>
              <w:t>从本地景点资料提炼，保留事实边界</w:t>
            </w:r>
          </w:p>
        </w:tc>
      </w:tr>
    </w:tbl>
    <w:p>
      <w:pPr>
        <w:spacing w:after="0"/>
      </w:pPr>
    </w:p>
    <w:p>
      <w:pPr>
        <w:keepNext/>
        <w:spacing w:before="180" w:after="80" w:lineRule="auto" w:line="252"/>
      </w:pPr>
      <w:r>
        <w:rPr>
          <w:rFonts w:ascii="Microsoft YaHei" w:hAnsi="Microsoft YaHei" w:eastAsia="Microsoft YaHei" w:cs="Microsoft YaHei"/>
          <w:b/>
          <w:color w:val="9A3D34"/>
          <w:sz w:val="18"/>
        </w:rPr>
        <w:t>01</w:t>
      </w:r>
      <w:r>
        <w:rPr>
          <w:rFonts w:ascii="Songti SC" w:hAnsi="Songti SC" w:eastAsia="Songti SC" w:cs="Songti SC"/>
          <w:b/>
          <w:color w:val="382C27"/>
          <w:sz w:val="30"/>
        </w:rPr>
        <w:t xml:space="preserve">  故宫</w:t>
      </w:r>
    </w:p>
    <w:p>
      <w:pPr>
        <w:keepNext/>
        <w:spacing w:before="0" w:after="100" w:lineRule="auto" w:line="348"/>
      </w:pPr>
      <w:r>
        <w:rPr>
          <w:rFonts w:ascii="Microsoft YaHei" w:hAnsi="Microsoft YaHei" w:eastAsia="Microsoft YaHei" w:cs="Microsoft YaHei"/>
          <w:b w:val="0"/>
          <w:color w:val="382C27"/>
          <w:sz w:val="21"/>
        </w:rPr>
        <w:t>【故宫】（又称紫禁城）（含大门票，游览时间约3小时），旧称“紫禁城”，是明、清两代的皇宫，被称为“殿宇之海”，气魄宏伟，极为壮观。也是古老中国的标志和象征。当你置身于气派规整的高墙深院，能真真切切地感受到它曾经的荣耀。悠久的历史给这里留下了大规模的珍贵建筑和无数文物，也成为游玩故宫的主要看点。</w:t>
      </w:r>
    </w:p>
    <w:p>
      <w:pPr>
        <w:spacing w:before="0" w:after="100" w:lineRule="auto" w:line="312"/>
      </w:pPr>
      <w:r>
        <w:rPr>
          <w:rFonts w:ascii="Microsoft YaHei" w:hAnsi="Microsoft YaHei" w:eastAsia="Microsoft YaHei" w:cs="Microsoft YaHei"/>
          <w:b w:val="0"/>
          <w:color w:val="B89355"/>
          <w:sz w:val="17"/>
        </w:rPr>
        <w:t>资料时长：3小时（对客前复核）  ·  提示：故宫博物院/毛主席纪念堂/中国国家博物馆/军事博物馆/中国科技馆馆每周一全天闭馆或因政策性原因，如遇闭馆则根据实际情况调整行程，敬请谅解！；故宫博物院自2015年6月13日起实行实名制携带二代身份证购票，请客人一定要携带身份证件才能入馆，如因客人自身原因未带身份证件或身份证号提供错误造成无法入馆的情况，后果客人承担，如学生儿童没有身份证件的请带户口簿或者护照入馆。；故宫仅含首道门票，景点中珍宝馆与钟表馆门票不含。</w:t>
      </w:r>
    </w:p>
    <w:tbl>
      <w:tblPr>
        <w:tblW w:type="auto" w:w="0"/>
        <w:jc w:val="center"/>
        <w:tblLayout w:type="fixed"/>
        <w:tblLook w:firstColumn="1" w:firstRow="1" w:lastColumn="0" w:lastRow="0" w:noHBand="0" w:noVBand="1" w:val="04A0"/>
      </w:tblPr>
      <w:tblGrid>
        <w:gridCol w:w="4989"/>
        <w:gridCol w:w="4989"/>
      </w:tblGrid>
      <w:tr>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6770"/>
                  <wp:docPr id="3" name="Picture 3"/>
                  <wp:cNvGraphicFramePr>
                    <a:graphicFrameLocks noChangeAspect="1"/>
                  </wp:cNvGraphicFramePr>
                  <a:graphic>
                    <a:graphicData uri="http://schemas.openxmlformats.org/drawingml/2006/picture">
                      <pic:pic>
                        <pic:nvPicPr>
                          <pic:cNvPr id="0" name="01-place-01.jpg"/>
                          <pic:cNvPicPr/>
                        </pic:nvPicPr>
                        <pic:blipFill>
                          <a:blip r:embed="rId11"/>
                          <a:stretch>
                            <a:fillRect/>
                          </a:stretch>
                        </pic:blipFill>
                        <pic:spPr>
                          <a:xfrm>
                            <a:off x="0" y="0"/>
                            <a:ext cx="2952000" cy="1966770"/>
                          </a:xfrm>
                          <a:prstGeom prst="rect"/>
                        </pic:spPr>
                      </pic:pic>
                    </a:graphicData>
                  </a:graphic>
                </wp:inline>
              </w:drawing>
            </w:r>
          </w:p>
        </w:tc>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6770"/>
                  <wp:docPr id="4" name="Picture 4"/>
                  <wp:cNvGraphicFramePr>
                    <a:graphicFrameLocks noChangeAspect="1"/>
                  </wp:cNvGraphicFramePr>
                  <a:graphic>
                    <a:graphicData uri="http://schemas.openxmlformats.org/drawingml/2006/picture">
                      <pic:pic>
                        <pic:nvPicPr>
                          <pic:cNvPr id="0" name="02-place-01.jpg"/>
                          <pic:cNvPicPr/>
                        </pic:nvPicPr>
                        <pic:blipFill>
                          <a:blip r:embed="rId13"/>
                          <a:stretch>
                            <a:fillRect/>
                          </a:stretch>
                        </pic:blipFill>
                        <pic:spPr>
                          <a:xfrm>
                            <a:off x="0" y="0"/>
                            <a:ext cx="2952000" cy="1966770"/>
                          </a:xfrm>
                          <a:prstGeom prst="rect"/>
                        </pic:spPr>
                      </pic:pic>
                    </a:graphicData>
                  </a:graphic>
                </wp:inline>
              </w:drawing>
            </w:r>
          </w:p>
        </w:tc>
      </w:tr>
    </w:tbl>
    <w:p>
      <w:r>
        <w:br w:type="page"/>
      </w:r>
    </w:p>
    <w:p>
      <w:pPr>
        <w:keepNext/>
        <w:spacing w:before="180" w:after="80" w:lineRule="auto" w:line="252"/>
      </w:pPr>
      <w:r>
        <w:rPr>
          <w:rFonts w:ascii="Microsoft YaHei" w:hAnsi="Microsoft YaHei" w:eastAsia="Microsoft YaHei" w:cs="Microsoft YaHei"/>
          <w:b/>
          <w:color w:val="9A3D34"/>
          <w:sz w:val="18"/>
        </w:rPr>
        <w:t>02</w:t>
      </w:r>
      <w:r>
        <w:rPr>
          <w:rFonts w:ascii="Songti SC" w:hAnsi="Songti SC" w:eastAsia="Songti SC" w:cs="Songti SC"/>
          <w:b/>
          <w:color w:val="382C27"/>
          <w:sz w:val="30"/>
        </w:rPr>
        <w:t xml:space="preserve">  恭王府</w:t>
      </w:r>
    </w:p>
    <w:p>
      <w:pPr>
        <w:keepNext/>
        <w:spacing w:before="0" w:after="100" w:lineRule="auto" w:line="348"/>
      </w:pPr>
      <w:r>
        <w:rPr>
          <w:rFonts w:ascii="Microsoft YaHei" w:hAnsi="Microsoft YaHei" w:eastAsia="Microsoft YaHei" w:cs="Microsoft YaHei"/>
          <w:b w:val="0"/>
          <w:color w:val="382C27"/>
          <w:sz w:val="21"/>
        </w:rPr>
        <w:t>【恭王府】（游览时间约2小时），恭王府位于北京市西城区前海西街，是清代规模最大的一座王府，先后作为大贪官和珅、庆亲王永璘的宅邸，后被赐予恭亲王奕訢，由此得名恭王府，并沿用至今。恭王府历经了清王朝由鼎盛至衰亡的历史进程，故有“一座恭王府，半部清代史”的说法。</w:t>
      </w:r>
    </w:p>
    <w:p>
      <w:pPr>
        <w:spacing w:before="0" w:after="100" w:lineRule="auto" w:line="312"/>
      </w:pPr>
      <w:r>
        <w:rPr>
          <w:rFonts w:ascii="Microsoft YaHei" w:hAnsi="Microsoft YaHei" w:eastAsia="Microsoft YaHei" w:cs="Microsoft YaHei"/>
          <w:b w:val="0"/>
          <w:color w:val="B89355"/>
          <w:sz w:val="17"/>
        </w:rPr>
        <w:t>资料时长：2小时（对客前复核）</w:t>
      </w:r>
    </w:p>
    <w:tbl>
      <w:tblPr>
        <w:tblW w:type="auto" w:w="0"/>
        <w:jc w:val="center"/>
        <w:tblLayout w:type="fixed"/>
        <w:tblLook w:firstColumn="1" w:firstRow="1" w:lastColumn="0" w:lastRow="0" w:noHBand="0" w:noVBand="1" w:val="04A0"/>
      </w:tblPr>
      <w:tblGrid>
        <w:gridCol w:w="4989"/>
        <w:gridCol w:w="4989"/>
      </w:tblGrid>
      <w:tr>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8615"/>
                  <wp:docPr id="5" name="Picture 5"/>
                  <wp:cNvGraphicFramePr>
                    <a:graphicFrameLocks noChangeAspect="1"/>
                  </wp:cNvGraphicFramePr>
                  <a:graphic>
                    <a:graphicData uri="http://schemas.openxmlformats.org/drawingml/2006/picture">
                      <pic:pic>
                        <pic:nvPicPr>
                          <pic:cNvPr id="0" name="03-place-02.jpg"/>
                          <pic:cNvPicPr/>
                        </pic:nvPicPr>
                        <pic:blipFill>
                          <a:blip r:embed="rId14"/>
                          <a:stretch>
                            <a:fillRect/>
                          </a:stretch>
                        </pic:blipFill>
                        <pic:spPr>
                          <a:xfrm>
                            <a:off x="0" y="0"/>
                            <a:ext cx="2952000" cy="1968615"/>
                          </a:xfrm>
                          <a:prstGeom prst="rect"/>
                        </pic:spPr>
                      </pic:pic>
                    </a:graphicData>
                  </a:graphic>
                </wp:inline>
              </w:drawing>
            </w:r>
          </w:p>
        </w:tc>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8615"/>
                  <wp:docPr id="6" name="Picture 6"/>
                  <wp:cNvGraphicFramePr>
                    <a:graphicFrameLocks noChangeAspect="1"/>
                  </wp:cNvGraphicFramePr>
                  <a:graphic>
                    <a:graphicData uri="http://schemas.openxmlformats.org/drawingml/2006/picture">
                      <pic:pic>
                        <pic:nvPicPr>
                          <pic:cNvPr id="0" name="04-place-02.jpg"/>
                          <pic:cNvPicPr/>
                        </pic:nvPicPr>
                        <pic:blipFill>
                          <a:blip r:embed="rId15"/>
                          <a:stretch>
                            <a:fillRect/>
                          </a:stretch>
                        </pic:blipFill>
                        <pic:spPr>
                          <a:xfrm>
                            <a:off x="0" y="0"/>
                            <a:ext cx="2952000" cy="1968615"/>
                          </a:xfrm>
                          <a:prstGeom prst="rect"/>
                        </pic:spPr>
                      </pic:pic>
                    </a:graphicData>
                  </a:graphic>
                </wp:inline>
              </w:drawing>
            </w:r>
          </w:p>
        </w:tc>
      </w:tr>
    </w:tbl>
    <w:p>
      <w:r>
        <w:br w:type="page"/>
      </w:r>
    </w:p>
    <w:p>
      <w:pPr>
        <w:keepNext/>
        <w:spacing w:before="180" w:after="80" w:lineRule="auto" w:line="252"/>
      </w:pPr>
      <w:r>
        <w:rPr>
          <w:rFonts w:ascii="Microsoft YaHei" w:hAnsi="Microsoft YaHei" w:eastAsia="Microsoft YaHei" w:cs="Microsoft YaHei"/>
          <w:b/>
          <w:color w:val="9A3D34"/>
          <w:sz w:val="18"/>
        </w:rPr>
        <w:t>03</w:t>
      </w:r>
      <w:r>
        <w:rPr>
          <w:rFonts w:ascii="Songti SC" w:hAnsi="Songti SC" w:eastAsia="Songti SC" w:cs="Songti SC"/>
          <w:b/>
          <w:color w:val="382C27"/>
          <w:sz w:val="30"/>
        </w:rPr>
        <w:t xml:space="preserve">  圆明园</w:t>
      </w:r>
    </w:p>
    <w:p>
      <w:pPr>
        <w:keepNext/>
        <w:spacing w:before="0" w:after="100" w:lineRule="auto" w:line="348"/>
      </w:pPr>
      <w:r>
        <w:rPr>
          <w:rFonts w:ascii="Microsoft YaHei" w:hAnsi="Microsoft YaHei" w:eastAsia="Microsoft YaHei" w:cs="Microsoft YaHei"/>
          <w:b w:val="0"/>
          <w:color w:val="382C27"/>
          <w:sz w:val="21"/>
        </w:rPr>
        <w:t>（含通票，游览约1小时）圆明园是中国清代大型皇家园林，由圆明园及其附园长春园和绮春园（后改名万春园）组成，有“万园之园”之称。清帝每到盛夏就来此避暑、听政，故圆明园又称“夏宫”。1860 年第二次鸦片战争期间，圆明园遭英法联军洗劫并烧毁，故址现为圆明园遗址公园。</w:t>
      </w:r>
    </w:p>
    <w:p>
      <w:pPr>
        <w:spacing w:before="0" w:after="100" w:lineRule="auto" w:line="312"/>
      </w:pPr>
      <w:r>
        <w:rPr>
          <w:rFonts w:ascii="Microsoft YaHei" w:hAnsi="Microsoft YaHei" w:eastAsia="Microsoft YaHei" w:cs="Microsoft YaHei"/>
          <w:b w:val="0"/>
          <w:color w:val="B89355"/>
          <w:sz w:val="17"/>
        </w:rPr>
        <w:t>资料时长：1小时（对客前复核）</w:t>
      </w:r>
    </w:p>
    <w:tbl>
      <w:tblPr>
        <w:tblW w:type="auto" w:w="0"/>
        <w:jc w:val="center"/>
        <w:tblLayout w:type="fixed"/>
        <w:tblLook w:firstColumn="1" w:firstRow="1" w:lastColumn="0" w:lastRow="0" w:noHBand="0" w:noVBand="1" w:val="04A0"/>
      </w:tblPr>
      <w:tblGrid>
        <w:gridCol w:w="4989"/>
        <w:gridCol w:w="4989"/>
      </w:tblGrid>
      <w:tr>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9232"/>
                  <wp:docPr id="7" name="Picture 7"/>
                  <wp:cNvGraphicFramePr>
                    <a:graphicFrameLocks noChangeAspect="1"/>
                  </wp:cNvGraphicFramePr>
                  <a:graphic>
                    <a:graphicData uri="http://schemas.openxmlformats.org/drawingml/2006/picture">
                      <pic:pic>
                        <pic:nvPicPr>
                          <pic:cNvPr id="0" name="05-place-03.jpg"/>
                          <pic:cNvPicPr/>
                        </pic:nvPicPr>
                        <pic:blipFill>
                          <a:blip r:embed="rId16"/>
                          <a:stretch>
                            <a:fillRect/>
                          </a:stretch>
                        </pic:blipFill>
                        <pic:spPr>
                          <a:xfrm>
                            <a:off x="0" y="0"/>
                            <a:ext cx="2952000" cy="1969232"/>
                          </a:xfrm>
                          <a:prstGeom prst="rect"/>
                        </pic:spPr>
                      </pic:pic>
                    </a:graphicData>
                  </a:graphic>
                </wp:inline>
              </w:drawing>
            </w:r>
          </w:p>
        </w:tc>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6770"/>
                  <wp:docPr id="8" name="Picture 8"/>
                  <wp:cNvGraphicFramePr>
                    <a:graphicFrameLocks noChangeAspect="1"/>
                  </wp:cNvGraphicFramePr>
                  <a:graphic>
                    <a:graphicData uri="http://schemas.openxmlformats.org/drawingml/2006/picture">
                      <pic:pic>
                        <pic:nvPicPr>
                          <pic:cNvPr id="0" name="06-place-03.jpg"/>
                          <pic:cNvPicPr/>
                        </pic:nvPicPr>
                        <pic:blipFill>
                          <a:blip r:embed="rId17"/>
                          <a:stretch>
                            <a:fillRect/>
                          </a:stretch>
                        </pic:blipFill>
                        <pic:spPr>
                          <a:xfrm>
                            <a:off x="0" y="0"/>
                            <a:ext cx="2952000" cy="1966770"/>
                          </a:xfrm>
                          <a:prstGeom prst="rect"/>
                        </pic:spPr>
                      </pic:pic>
                    </a:graphicData>
                  </a:graphic>
                </wp:inline>
              </w:drawing>
            </w:r>
          </w:p>
        </w:tc>
      </w:tr>
    </w:tbl>
    <w:p>
      <w:r>
        <w:br w:type="page"/>
      </w:r>
    </w:p>
    <w:p>
      <w:pPr>
        <w:keepNext/>
        <w:spacing w:before="180" w:after="80" w:lineRule="auto" w:line="252"/>
      </w:pPr>
      <w:r>
        <w:rPr>
          <w:rFonts w:ascii="Microsoft YaHei" w:hAnsi="Microsoft YaHei" w:eastAsia="Microsoft YaHei" w:cs="Microsoft YaHei"/>
          <w:b/>
          <w:color w:val="9A3D34"/>
          <w:sz w:val="18"/>
        </w:rPr>
        <w:t>04</w:t>
      </w:r>
      <w:r>
        <w:rPr>
          <w:rFonts w:ascii="Songti SC" w:hAnsi="Songti SC" w:eastAsia="Songti SC" w:cs="Songti SC"/>
          <w:b/>
          <w:color w:val="382C27"/>
          <w:sz w:val="30"/>
        </w:rPr>
        <w:t xml:space="preserve">  军博</w:t>
      </w:r>
    </w:p>
    <w:p>
      <w:pPr>
        <w:keepNext/>
        <w:spacing w:before="0" w:after="100" w:lineRule="auto" w:line="348"/>
      </w:pPr>
      <w:r>
        <w:rPr>
          <w:rFonts w:ascii="Microsoft YaHei" w:hAnsi="Microsoft YaHei" w:eastAsia="Microsoft YaHei" w:cs="Microsoft YaHei"/>
          <w:b w:val="0"/>
          <w:color w:val="382C27"/>
          <w:sz w:val="21"/>
        </w:rPr>
        <w:t>前往【军事博物馆】（以上景点为国家公共设施，如遇国家政治活动无法参观或未抢到票无法进入，旅行社不予负责）。占地面积8万多平方米，建筑面积6万多平方米，陈列面积4万多平方米。主楼高94.7米，中央7层，两侧4层。截止至2012年末，全馆有22个陈列厅、2个陈列广场。军博收藏34万多件文物和藏品。其中国家一级文物1793件，大型武器装备250余件，艺术品1600余件。</w:t>
      </w:r>
    </w:p>
    <w:tbl>
      <w:tblPr>
        <w:tblW w:type="auto" w:w="0"/>
        <w:jc w:val="center"/>
        <w:tblLayout w:type="fixed"/>
        <w:tblLook w:firstColumn="1" w:firstRow="1" w:lastColumn="0" w:lastRow="0" w:noHBand="0" w:noVBand="1" w:val="04A0"/>
      </w:tblPr>
      <w:tblGrid>
        <w:gridCol w:w="4989"/>
        <w:gridCol w:w="4989"/>
      </w:tblGrid>
      <w:tr>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6770"/>
                  <wp:docPr id="9" name="Picture 9"/>
                  <wp:cNvGraphicFramePr>
                    <a:graphicFrameLocks noChangeAspect="1"/>
                  </wp:cNvGraphicFramePr>
                  <a:graphic>
                    <a:graphicData uri="http://schemas.openxmlformats.org/drawingml/2006/picture">
                      <pic:pic>
                        <pic:nvPicPr>
                          <pic:cNvPr id="0" name="07-place-04.jpg"/>
                          <pic:cNvPicPr/>
                        </pic:nvPicPr>
                        <pic:blipFill>
                          <a:blip r:embed="rId18"/>
                          <a:stretch>
                            <a:fillRect/>
                          </a:stretch>
                        </pic:blipFill>
                        <pic:spPr>
                          <a:xfrm>
                            <a:off x="0" y="0"/>
                            <a:ext cx="2952000" cy="1966770"/>
                          </a:xfrm>
                          <a:prstGeom prst="rect"/>
                        </pic:spPr>
                      </pic:pic>
                    </a:graphicData>
                  </a:graphic>
                </wp:inline>
              </w:drawing>
            </w:r>
          </w:p>
        </w:tc>
        <w:tc>
          <w:tcPr>
            <w:tcW w:type="dxa" w:w="4876"/>
            <w:tcMar>
              <w:top w:w="70" w:type="dxa"/>
              <w:start w:w="70" w:type="dxa"/>
              <w:bottom w:w="70" w:type="dxa"/>
              <w:end w:w="70" w:type="dxa"/>
            </w:tcMar>
            <w:tcBorders>
              <w:top w:val="single" w:sz="4" w:color="E6D6C3"/>
              <w:left w:val="single" w:sz="4" w:color="E6D6C3"/>
              <w:bottom w:val="single" w:sz="4" w:color="E6D6C3"/>
              <w:right w:val="single" w:sz="4" w:color="E6D6C3"/>
            </w:tcBorders>
          </w:tcPr>
          <w:p>
            <w:pPr>
              <w:jc w:val="center"/>
            </w:pPr>
            <w:r>
              <w:drawing>
                <wp:inline xmlns:a="http://schemas.openxmlformats.org/drawingml/2006/main" xmlns:pic="http://schemas.openxmlformats.org/drawingml/2006/picture">
                  <wp:extent cx="2952000" cy="1966770"/>
                  <wp:docPr id="10" name="Picture 10"/>
                  <wp:cNvGraphicFramePr>
                    <a:graphicFrameLocks noChangeAspect="1"/>
                  </wp:cNvGraphicFramePr>
                  <a:graphic>
                    <a:graphicData uri="http://schemas.openxmlformats.org/drawingml/2006/picture">
                      <pic:pic>
                        <pic:nvPicPr>
                          <pic:cNvPr id="0" name="08-place-04.jpg"/>
                          <pic:cNvPicPr/>
                        </pic:nvPicPr>
                        <pic:blipFill>
                          <a:blip r:embed="rId19"/>
                          <a:stretch>
                            <a:fillRect/>
                          </a:stretch>
                        </pic:blipFill>
                        <pic:spPr>
                          <a:xfrm>
                            <a:off x="0" y="0"/>
                            <a:ext cx="2952000" cy="1966770"/>
                          </a:xfrm>
                          <a:prstGeom prst="rect"/>
                        </pic:spPr>
                      </pic:pic>
                    </a:graphicData>
                  </a:graphic>
                </wp:inline>
              </w:drawing>
            </w:r>
          </w:p>
        </w:tc>
      </w:tr>
    </w:tbl>
    <w:p>
      <w:r>
        <w:br w:type="page"/>
      </w:r>
    </w:p>
    <w:tbl>
      <w:tblPr>
        <w:tblW w:type="auto" w:w="0"/>
        <w:jc w:val="left"/>
        <w:tblLayout w:type="fixed"/>
        <w:tblLook w:firstColumn="1" w:firstRow="1" w:lastColumn="0" w:lastRow="0" w:noHBand="0" w:noVBand="1" w:val="04A0"/>
      </w:tblPr>
      <w:tblGrid>
        <w:gridCol w:w="4989"/>
        <w:gridCol w:w="4989"/>
      </w:tblGrid>
      <w:tr>
        <w:tc>
          <w:tcPr>
            <w:tcW w:type="dxa" w:w="1134"/>
            <w:shd w:fill="9A3D34"/>
            <w:tcMar>
              <w:top w:w="170" w:type="dxa"/>
              <w:start w:w="220" w:type="dxa"/>
              <w:bottom w:w="170" w:type="dxa"/>
              <w:end w:w="220" w:type="dxa"/>
            </w:tcMar>
            <w:vAlign w:val="center"/>
          </w:tcPr>
          <w:p>
            <w:pPr>
              <w:spacing w:before="0" w:after="0" w:lineRule="auto" w:line="240"/>
              <w:jc w:val="center"/>
            </w:pPr>
            <w:r>
              <w:rPr>
                <w:rFonts w:ascii="Songti SC" w:hAnsi="Songti SC" w:eastAsia="Songti SC" w:cs="Songti SC"/>
                <w:b/>
                <w:color w:val="FFFFFF"/>
                <w:sz w:val="32"/>
              </w:rPr>
              <w:t>03</w:t>
            </w:r>
          </w:p>
        </w:tc>
        <w:tc>
          <w:tcPr>
            <w:tcW w:type="dxa" w:w="8844"/>
            <w:shd w:fill="E6D6C3"/>
            <w:tcMar>
              <w:top w:w="170" w:type="dxa"/>
              <w:start w:w="220" w:type="dxa"/>
              <w:bottom w:w="170" w:type="dxa"/>
              <w:end w:w="220" w:type="dxa"/>
            </w:tcMar>
            <w:vAlign w:val="center"/>
          </w:tcPr>
          <w:p>
            <w:pPr>
              <w:spacing w:before="0" w:after="40" w:lineRule="auto" w:line="240"/>
            </w:pPr>
            <w:r>
              <w:rPr>
                <w:rFonts w:ascii="Songti SC" w:hAnsi="Songti SC" w:eastAsia="Songti SC" w:cs="Songti SC"/>
                <w:b/>
                <w:color w:val="382C27"/>
                <w:sz w:val="34"/>
              </w:rPr>
              <w:t>完整销售提案</w:t>
            </w:r>
          </w:p>
          <w:p>
            <w:pPr>
              <w:spacing w:before="0" w:after="0" w:lineRule="auto" w:line="240"/>
            </w:pPr>
            <w:r>
              <w:rPr>
                <w:rFonts w:ascii="Microsoft YaHei" w:hAnsi="Microsoft YaHei" w:eastAsia="Microsoft YaHei" w:cs="Microsoft YaHei"/>
                <w:b w:val="0"/>
                <w:color w:val="B89355"/>
                <w:sz w:val="16"/>
              </w:rPr>
              <w:t>场景信息只使用可确认内容，缺项不猜测</w:t>
            </w:r>
          </w:p>
        </w:tc>
      </w:tr>
    </w:tbl>
    <w:p>
      <w:pPr>
        <w:spacing w:after="0"/>
      </w:pPr>
    </w:p>
    <w:tbl>
      <w:tblPr>
        <w:tblW w:type="auto" w:w="0"/>
        <w:jc w:val="center"/>
        <w:tblLayout w:type="fixed"/>
        <w:tblLook w:firstColumn="1" w:firstRow="1" w:lastColumn="0" w:lastRow="0" w:noHBand="0" w:noVBand="1" w:val="04A0"/>
      </w:tblPr>
      <w:tblGrid>
        <w:gridCol w:w="2268"/>
        <w:gridCol w:w="7710"/>
      </w:tblGrid>
      <w:tr>
        <w:trPr>
          <w:tblHeader w:val="true"/>
        </w:trPr>
        <w:tc>
          <w:tcPr>
            <w:tcW w:type="dxa" w:w="4989"/>
            <w:shd w:fill="382C27"/>
            <w:tcMar>
              <w:top w:w="150" w:type="dxa"/>
              <w:start w:w="180" w:type="dxa"/>
              <w:bottom w:w="150" w:type="dxa"/>
              <w:end w:w="180" w:type="dxa"/>
            </w:tcMar>
          </w:tcPr>
          <w:p>
            <w:pPr>
              <w:spacing w:before="0" w:after="0" w:lineRule="auto" w:line="240"/>
            </w:pPr>
            <w:r>
              <w:rPr>
                <w:rFonts w:ascii="Microsoft YaHei" w:hAnsi="Microsoft YaHei" w:eastAsia="Microsoft YaHei" w:cs="Microsoft YaHei"/>
                <w:b/>
                <w:color w:val="FFFFFF"/>
                <w:sz w:val="18"/>
              </w:rPr>
              <w:t>项目</w:t>
            </w:r>
          </w:p>
        </w:tc>
        <w:tc>
          <w:tcPr>
            <w:tcW w:type="dxa" w:w="4989"/>
            <w:shd w:fill="382C27"/>
            <w:tcMar>
              <w:top w:w="150" w:type="dxa"/>
              <w:start w:w="180" w:type="dxa"/>
              <w:bottom w:w="150" w:type="dxa"/>
              <w:end w:w="180" w:type="dxa"/>
            </w:tcMar>
          </w:tcPr>
          <w:p>
            <w:pPr>
              <w:spacing w:before="0" w:after="0" w:lineRule="auto" w:line="240"/>
            </w:pPr>
            <w:r>
              <w:rPr>
                <w:rFonts w:ascii="Microsoft YaHei" w:hAnsi="Microsoft YaHei" w:eastAsia="Microsoft YaHei" w:cs="Microsoft YaHei"/>
                <w:b/>
                <w:color w:val="FFFFFF"/>
                <w:sz w:val="18"/>
              </w:rPr>
              <w:t>当前内容</w:t>
            </w:r>
          </w:p>
        </w:tc>
      </w:tr>
      <w:tr>
        <w:tc>
          <w:tcPr>
            <w:tcW w:type="dxa" w:w="2268"/>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产品概览</w:t>
            </w:r>
          </w:p>
        </w:tc>
        <w:tc>
          <w:tcPr>
            <w:tcW w:type="dxa" w:w="7710"/>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以建筑、器物和历史空间，建立可收藏的北京人文索引</w:t>
            </w:r>
          </w:p>
        </w:tc>
      </w:tr>
      <w:tr>
        <w:tc>
          <w:tcPr>
            <w:tcW w:type="dxa" w:w="2268"/>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重点场景</w:t>
            </w:r>
          </w:p>
        </w:tc>
        <w:tc>
          <w:tcPr>
            <w:tcW w:type="dxa" w:w="7710"/>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 故宫</w:t>
              <w:br/>
              <w:t>• 恭王府</w:t>
              <w:br/>
              <w:t>• 圆明园</w:t>
              <w:br/>
              <w:t>• 军博</w:t>
            </w:r>
          </w:p>
        </w:tc>
      </w:tr>
      <w:tr>
        <w:tc>
          <w:tcPr>
            <w:tcW w:type="dxa" w:w="2268"/>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行程状态</w:t>
            </w:r>
          </w:p>
        </w:tc>
        <w:tc>
          <w:tcPr>
            <w:tcW w:type="dxa" w:w="7710"/>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本批次仅验证主题组合与版式，正式每日行程待核实</w:t>
            </w:r>
          </w:p>
        </w:tc>
      </w:tr>
      <w:tr>
        <w:tc>
          <w:tcPr>
            <w:tcW w:type="dxa" w:w="2268"/>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交通</w:t>
            </w:r>
          </w:p>
        </w:tc>
        <w:tc>
          <w:tcPr>
            <w:tcW w:type="dxa" w:w="7710"/>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待核实</w:t>
            </w:r>
          </w:p>
        </w:tc>
      </w:tr>
      <w:tr>
        <w:tc>
          <w:tcPr>
            <w:tcW w:type="dxa" w:w="2268"/>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住宿</w:t>
            </w:r>
          </w:p>
        </w:tc>
        <w:tc>
          <w:tcPr>
            <w:tcW w:type="dxa" w:w="7710"/>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待核实</w:t>
            </w:r>
          </w:p>
        </w:tc>
      </w:tr>
      <w:tr>
        <w:tc>
          <w:tcPr>
            <w:tcW w:type="dxa" w:w="2268"/>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餐食</w:t>
            </w:r>
          </w:p>
        </w:tc>
        <w:tc>
          <w:tcPr>
            <w:tcW w:type="dxa" w:w="7710"/>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待核实</w:t>
            </w:r>
          </w:p>
        </w:tc>
      </w:tr>
      <w:tr>
        <w:tc>
          <w:tcPr>
            <w:tcW w:type="dxa" w:w="2268"/>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价格</w:t>
            </w:r>
          </w:p>
        </w:tc>
        <w:tc>
          <w:tcPr>
            <w:tcW w:type="dxa" w:w="7710"/>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待核实</w:t>
            </w:r>
          </w:p>
        </w:tc>
      </w:tr>
      <w:tr>
        <w:tc>
          <w:tcPr>
            <w:tcW w:type="dxa" w:w="2268"/>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费用包含</w:t>
            </w:r>
          </w:p>
        </w:tc>
        <w:tc>
          <w:tcPr>
            <w:tcW w:type="dxa" w:w="7710"/>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待核实</w:t>
            </w:r>
          </w:p>
        </w:tc>
      </w:tr>
      <w:tr>
        <w:tc>
          <w:tcPr>
            <w:tcW w:type="dxa" w:w="2268"/>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费用不含</w:t>
            </w:r>
          </w:p>
        </w:tc>
        <w:tc>
          <w:tcPr>
            <w:tcW w:type="dxa" w:w="7710"/>
            <w:shd w:fill="E6D6C3"/>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待核实</w:t>
            </w:r>
          </w:p>
        </w:tc>
      </w:tr>
      <w:tr>
        <w:tc>
          <w:tcPr>
            <w:tcW w:type="dxa" w:w="2268"/>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color w:val="9A3D34"/>
                <w:sz w:val="17"/>
              </w:rPr>
              <w:t>下一步</w:t>
            </w:r>
          </w:p>
        </w:tc>
        <w:tc>
          <w:tcPr>
            <w:tcW w:type="dxa" w:w="7710"/>
            <w:tcMar>
              <w:top w:w="130" w:type="dxa"/>
              <w:start w:w="180" w:type="dxa"/>
              <w:bottom w:w="130" w:type="dxa"/>
              <w:end w:w="180" w:type="dxa"/>
            </w:tcMar>
            <w:tcBorders>
              <w:top w:val="single" w:sz="3" w:color="E6D6C3"/>
              <w:left w:val="single" w:sz="3" w:color="E6D6C3"/>
              <w:bottom w:val="single" w:sz="3" w:color="E6D6C3"/>
              <w:right w:val="single" w:sz="3" w:color="E6D6C3"/>
            </w:tcBorders>
          </w:tcPr>
          <w:p>
            <w:r>
              <w:rPr>
                <w:rFonts w:ascii="Microsoft YaHei" w:hAnsi="Microsoft YaHei" w:eastAsia="Microsoft YaHei" w:cs="Microsoft YaHei"/>
                <w:b w:val="0"/>
                <w:color w:val="382C27"/>
                <w:sz w:val="18"/>
              </w:rPr>
              <w:t>正式班期、报价与联系方式待产品确认后补充</w:t>
            </w:r>
          </w:p>
        </w:tc>
      </w:tr>
    </w:tbl>
    <w:p/>
    <w:tbl>
      <w:tblPr>
        <w:tblW w:type="auto" w:w="0"/>
        <w:jc w:val="center"/>
        <w:tblLook w:firstColumn="1" w:firstRow="1" w:lastColumn="0" w:lastRow="0" w:noHBand="0" w:noVBand="1" w:val="04A0"/>
      </w:tblPr>
      <w:tblGrid>
        <w:gridCol w:w="9978"/>
      </w:tblGrid>
      <w:tr>
        <w:tc>
          <w:tcPr>
            <w:tcW w:type="dxa" w:w="9978"/>
            <w:shd w:fill="E6D6C3"/>
            <w:tcMar>
              <w:top w:w="210" w:type="dxa"/>
              <w:start w:w="260" w:type="dxa"/>
              <w:bottom w:w="210" w:type="dxa"/>
              <w:end w:w="260" w:type="dxa"/>
            </w:tcMar>
            <w:tcBorders>
              <w:left w:val="single" w:sz="12" w:color="9A3D34"/>
            </w:tcBorders>
          </w:tcPr>
          <w:p>
            <w:pPr>
              <w:spacing w:before="0" w:after="100" w:lineRule="auto" w:line="240"/>
            </w:pPr>
            <w:r>
              <w:rPr>
                <w:rFonts w:ascii="Microsoft YaHei" w:hAnsi="Microsoft YaHei" w:eastAsia="Microsoft YaHei" w:cs="Microsoft YaHei"/>
                <w:b/>
                <w:color w:val="9A3D34"/>
                <w:sz w:val="20"/>
              </w:rPr>
              <w:t>对客前核验清单</w:t>
            </w:r>
          </w:p>
          <w:p>
            <w:pPr>
              <w:spacing w:before="0" w:after="0" w:lineRule="auto" w:line="324"/>
            </w:pPr>
            <w:r>
              <w:rPr>
                <w:rFonts w:ascii="Microsoft YaHei" w:hAnsi="Microsoft YaHei" w:eastAsia="Microsoft YaHei" w:cs="Microsoft YaHei"/>
                <w:b/>
                <w:color w:val="382C27"/>
                <w:sz w:val="18"/>
              </w:rPr>
              <w:t>价格：待核实  ｜  日期：待核实  ｜  交通：待核实  ｜  住宿：待核实  ｜  餐食：待核实</w:t>
              <w:br/>
              <w:t>门票与政策：待核实  ｜  联系方式：待核实  ｜  具体服务与资质：待核实</w:t>
            </w:r>
          </w:p>
        </w:tc>
      </w:tr>
    </w:tbl>
    <w:p>
      <w:pPr>
        <w:pStyle w:val="ListBullet"/>
        <w:spacing w:before="0" w:after="60" w:lineRule="auto" w:line="312"/>
      </w:pPr>
      <w:r>
        <w:rPr>
          <w:rFonts w:ascii="Microsoft YaHei" w:hAnsi="Microsoft YaHei" w:eastAsia="Microsoft YaHei" w:cs="Microsoft YaHei"/>
          <w:b w:val="0"/>
          <w:color w:val="666666"/>
          <w:sz w:val="17"/>
        </w:rPr>
        <w:t>本页为主题组合与视觉样式预览，不代表已经形成可售班期。</w:t>
      </w:r>
    </w:p>
    <w:p>
      <w:pPr>
        <w:pStyle w:val="ListBullet"/>
        <w:spacing w:before="0" w:after="60" w:lineRule="auto" w:line="312"/>
      </w:pPr>
      <w:r>
        <w:rPr>
          <w:rFonts w:ascii="Microsoft YaHei" w:hAnsi="Microsoft YaHei" w:eastAsia="Microsoft YaHei" w:cs="Microsoft YaHei"/>
          <w:b w:val="0"/>
          <w:color w:val="666666"/>
          <w:sz w:val="17"/>
        </w:rPr>
        <w:t>价格、日期、住宿、交通、餐食、门票、联系方式和动态政策均须在对客前复核。</w:t>
      </w:r>
    </w:p>
    <w:sectPr w:rsidR="00FC693F" w:rsidRPr="0006063C" w:rsidSect="00034616">
      <w:headerReference w:type="default" r:id="rId9"/>
      <w:footerReference w:type="default" r:id="rId10"/>
      <w:pgSz w:w="11906" w:h="16838"/>
      <w:pgMar w:top="907" w:right="964" w:bottom="907"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Rule="auto" w:line="240"/>
      <w:jc w:val="center"/>
    </w:pPr>
    <w:r>
      <w:rPr>
        <w:rFonts w:ascii="Microsoft YaHei" w:hAnsi="Microsoft YaHei" w:eastAsia="Microsoft YaHei"/>
        <w:b w:val="0"/>
        <w:i w:val="0"/>
        <w:color w:val="B89355"/>
        <w:sz w:val="14"/>
      </w:rPr>
      <w:t>同源双模式模板 · 内容以事实账本为准</w:t>
    </w:r>
    <w:r>
      <w:rPr>
        <w:rFonts w:ascii="Microsoft YaHei" w:hAnsi="Microsoft YaHei" w:eastAsia="Microsoft YaHei" w:cs="Microsoft YaHei"/>
        <w:b w:val="0"/>
        <w:color w:val="777777"/>
        <w:sz w:val="15"/>
      </w:rPr>
      <w:t>主题组合预览  ·  动态业务信息请在对客前复核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Rule="auto" w:line="240"/>
      <w:jc w:val="right"/>
    </w:pPr>
    <w:r>
      <w:rPr>
        <w:rFonts w:ascii="Microsoft YaHei" w:hAnsi="Microsoft YaHei" w:eastAsia="Microsoft YaHei"/>
        <w:b/>
        <w:i w:val="0"/>
        <w:color w:val="B89355"/>
        <w:sz w:val="15"/>
      </w:rPr>
      <w:t>人文典藏旅行模板  /  EDITABLE WORD</w:t>
    </w:r>
    <w:r>
      <w:rPr>
        <w:rFonts w:ascii="Microsoft YaHei" w:hAnsi="Microsoft YaHei" w:eastAsia="Microsoft YaHei" w:cs="Microsoft YaHei"/>
        <w:b/>
        <w:color w:val="B89355"/>
        <w:sz w:val="16"/>
      </w:rPr>
      <w:t>北京  ·  人文典藏</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Microsoft YaHei" w:hAnsi="Microsoft YaHei" w:eastAsia="Microsoft YaHei" w:cs="Microsoft YaHei"/>
      <w:color w:val="382C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Songti SC" w:hAnsi="Songti SC" w:eastAsia="Songti SC" w:cs="Songti SC"/>
      <w:b/>
      <w:bCs/>
      <w:color w:val="382C27"/>
      <w:sz w:val="4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Songti SC" w:hAnsi="Songti SC" w:eastAsia="Songti SC" w:cs="Songti SC"/>
      <w:b/>
      <w:bCs/>
      <w:color w:val="382C2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Songti SC" w:hAnsi="Songti SC" w:eastAsia="Songti SC" w:cs="Songti SC"/>
      <w:b w:val="0"/>
      <w:color w:val="382C27"/>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博物馆之城·人文典藏</dc:title>
  <dc:subject>北京旅游主题组合与视觉预览</dc:subject>
  <dc:creator>老方旅游内容工作流</dc:creator>
  <cp:keywords/>
  <dc:description>由本地资料生成；动态业务信息须在对客前核实。</dc:description>
  <cp:lastModifiedBy/>
  <cp:revision>1</cp:revision>
  <dcterms:created xsi:type="dcterms:W3CDTF">2013-12-23T23:15:00Z</dcterms:created>
  <dcterms:modified xsi:type="dcterms:W3CDTF">2013-12-23T23:15:00Z</dcterms:modified>
  <cp:category/>
</cp:coreProperties>
</file>