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vAlign w:val="center"/>
            <w:shd w:fill="E8E4DA"/>
            <w:tcMar>
              <w:top w:w="360" w:type="dxa"/>
              <w:start w:w="420" w:type="dxa"/>
              <w:bottom w:w="360" w:type="dxa"/>
              <w:end w:w="420" w:type="dxa"/>
            </w:tcMar>
            <w:tcBorders>
              <w:left w:val="single" w:sz="18" w:color="B29A69"/>
            </w:tcBorders>
          </w:tcPr>
          <w:p>
            <w:pPr>
              <w:spacing w:before="0" w:after="2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B29A69"/>
                <w:sz w:val="18"/>
              </w:rPr>
              <w:t>VOL. 05  /  北京 DESTINATION SERIES</w:t>
            </w:r>
          </w:p>
          <w:p>
            <w:pPr>
              <w:spacing w:before="0" w:after="160" w:lineRule="auto" w:line="252"/>
              <w:jc w:val="center"/>
            </w:pPr>
            <w:r>
              <w:rPr>
                <w:rFonts w:ascii="Songti SC" w:hAnsi="Songti SC" w:eastAsia="Songti SC" w:cs="Songti SC"/>
                <w:b/>
                <w:color w:val="1D1D1B"/>
                <w:sz w:val="58"/>
              </w:rPr>
              <w:t>北京私享家·极简定制</w:t>
            </w:r>
          </w:p>
          <w:p>
            <w:pPr>
              <w:spacing w:before="0" w:after="240" w:lineRule="auto" w:line="324"/>
            </w:pPr>
            <w:r>
              <w:rPr>
                <w:rFonts w:ascii="Microsoft YaHei" w:hAnsi="Microsoft YaHei" w:eastAsia="Microsoft YaHei" w:cs="Microsoft YaHei"/>
                <w:b w:val="0"/>
                <w:color w:val="1D1D1B"/>
                <w:sz w:val="22"/>
              </w:rPr>
              <w:t>只保留影响体验的少数场景，把节奏与服务边界说清楚</w:t>
            </w:r>
          </w:p>
          <w:p>
            <w:pPr>
              <w:spacing w:before="0" w:after="0" w:lineRule="auto" w:line="288"/>
            </w:pPr>
            <w:r>
              <w:rPr>
                <w:rFonts w:ascii="Microsoft YaHei" w:hAnsi="Microsoft YaHei" w:eastAsia="Microsoft YaHei" w:cs="Microsoft YaHei"/>
                <w:b/>
                <w:color w:val="5D5D5A"/>
                <w:sz w:val="17"/>
              </w:rPr>
              <w:t>高端私人订制   ×   私享极简   ×   主题组合示意</w:t>
            </w:r>
          </w:p>
        </w:tc>
      </w:tr>
    </w:tbl>
    <w:p/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220000" cy="3480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place-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34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100" w:lineRule="auto" w:line="288"/>
        <w:jc w:val="center"/>
      </w:pPr>
      <w:r>
        <w:rPr>
          <w:rFonts w:ascii="Microsoft YaHei" w:hAnsi="Microsoft YaHei" w:eastAsia="Microsoft YaHei" w:cs="Microsoft YaHei"/>
          <w:b/>
          <w:color w:val="5D5D5A"/>
          <w:sz w:val="18"/>
        </w:rPr>
        <w:t>颐和园 · 什刹海 · 恭王府 · 八达岭</w:t>
      </w:r>
    </w:p>
    <w:p>
      <w:pPr>
        <w:spacing w:before="0" w:after="0" w:lineRule="auto" w:line="288"/>
        <w:jc w:val="center"/>
      </w:pPr>
      <w:r>
        <w:rPr>
          <w:rFonts w:ascii="Microsoft YaHei" w:hAnsi="Microsoft YaHei" w:eastAsia="Microsoft YaHei" w:cs="Microsoft YaHei"/>
          <w:b w:val="0"/>
          <w:color w:val="777777"/>
          <w:sz w:val="17"/>
        </w:rPr>
        <w:t>本册用于主题组合与视觉样式预览；价格、日期、住宿、交通等动态信息均为待核实。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B29A69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01</w:t>
            </w:r>
          </w:p>
        </w:tc>
        <w:tc>
          <w:tcPr>
            <w:tcW w:type="dxa" w:w="8844"/>
            <w:shd w:fill="E8E4DA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1D1D1B"/>
                <w:sz w:val="34"/>
              </w:rPr>
              <w:t>主题线路图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5D5D5A"/>
                <w:sz w:val="16"/>
              </w:rPr>
              <w:t>地点连线、每日颜色、交通距离与时间一图呈现</w:t>
            </w:r>
          </w:p>
        </w:tc>
      </w:tr>
    </w:tbl>
    <w:p>
      <w:pPr>
        <w:spacing w:after="0"/>
      </w:pP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048000" cy="782682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ute-map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782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0" w:lineRule="auto" w:line="312"/>
      </w:pPr>
      <w:r>
        <w:rPr>
          <w:rFonts w:ascii="Microsoft YaHei" w:hAnsi="Microsoft YaHei" w:eastAsia="Microsoft YaHei" w:cs="Microsoft YaHei"/>
          <w:b/>
          <w:color w:val="5D5D5A"/>
          <w:sz w:val="17"/>
        </w:rPr>
        <w:t>景点间距离与时间按制作时路线查询结果整理，均为预计值</w:t>
      </w:r>
    </w:p>
    <w:p>
      <w:pPr>
        <w:keepNext/>
        <w:spacing w:before="100" w:after="100" w:lineRule="auto" w:line="240"/>
      </w:pPr>
      <w:r>
        <w:rPr>
          <w:rFonts w:ascii="Songti SC" w:hAnsi="Songti SC" w:eastAsia="Songti SC" w:cs="Songti SC"/>
          <w:b/>
          <w:color w:val="1D1D1B"/>
          <w:sz w:val="26"/>
        </w:rPr>
        <w:t>每日线路与交通（原生可编辑）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</w:trPr>
        <w:tc>
          <w:tcPr>
            <w:tcW w:type="dxa" w:w="1020"/>
            <w:shd w:fill="1D1D1B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天数</w:t>
            </w:r>
          </w:p>
        </w:tc>
        <w:tc>
          <w:tcPr>
            <w:tcW w:type="dxa" w:w="2835"/>
            <w:shd w:fill="1D1D1B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线路</w:t>
            </w:r>
          </w:p>
        </w:tc>
        <w:tc>
          <w:tcPr>
            <w:tcW w:type="dxa" w:w="1701"/>
            <w:shd w:fill="1D1D1B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交通</w:t>
            </w:r>
          </w:p>
        </w:tc>
        <w:tc>
          <w:tcPr>
            <w:tcW w:type="dxa" w:w="2438"/>
            <w:shd w:fill="1D1D1B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距离 / 时间</w:t>
            </w:r>
          </w:p>
        </w:tc>
        <w:tc>
          <w:tcPr>
            <w:tcW w:type="dxa" w:w="1984"/>
            <w:shd w:fill="1D1D1B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jc w:val="center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6"/>
              </w:rPr>
              <w:t>住宿</w:t>
            </w:r>
          </w:p>
        </w:tc>
      </w:tr>
      <w:tr>
        <w:tc>
          <w:tcPr>
            <w:tcW w:type="dxa" w:w="1020"/>
            <w:shd w:fill="E8E4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D1D1B"/>
                <w:sz w:val="16"/>
              </w:rPr>
              <w:t>D1</w:t>
            </w:r>
          </w:p>
        </w:tc>
        <w:tc>
          <w:tcPr>
            <w:tcW w:type="dxa" w:w="2835"/>
            <w:shd w:fill="E8E4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1D1B"/>
                <w:sz w:val="16"/>
              </w:rPr>
              <w:t>颐和园</w:t>
            </w:r>
          </w:p>
        </w:tc>
        <w:tc>
          <w:tcPr>
            <w:tcW w:type="dxa" w:w="1701"/>
            <w:shd w:fill="E8E4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1D1B"/>
                <w:sz w:val="16"/>
              </w:rPr>
              <w:t>抵达日</w:t>
            </w:r>
          </w:p>
        </w:tc>
        <w:tc>
          <w:tcPr>
            <w:tcW w:type="dxa" w:w="2438"/>
            <w:shd w:fill="E8E4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1D1B"/>
                <w:sz w:val="16"/>
              </w:rPr>
              <w:t>待核实</w:t>
            </w:r>
          </w:p>
        </w:tc>
        <w:tc>
          <w:tcPr>
            <w:tcW w:type="dxa" w:w="1984"/>
            <w:shd w:fill="E8E4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1D1B"/>
                <w:sz w:val="16"/>
              </w:rPr>
              <w:t>待核实</w:t>
            </w:r>
          </w:p>
        </w:tc>
      </w:tr>
      <w:tr>
        <w:tc>
          <w:tcPr>
            <w:tcW w:type="dxa" w:w="1020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D1D1B"/>
                <w:sz w:val="16"/>
              </w:rPr>
              <w:t>D2</w:t>
            </w:r>
          </w:p>
        </w:tc>
        <w:tc>
          <w:tcPr>
            <w:tcW w:type="dxa" w:w="283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1D1B"/>
                <w:sz w:val="16"/>
              </w:rPr>
              <w:t>什刹海</w:t>
            </w:r>
          </w:p>
        </w:tc>
        <w:tc>
          <w:tcPr>
            <w:tcW w:type="dxa" w:w="170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1D1B"/>
                <w:sz w:val="16"/>
              </w:rPr>
              <w:t>驾车</w:t>
            </w:r>
          </w:p>
        </w:tc>
        <w:tc>
          <w:tcPr>
            <w:tcW w:type="dxa" w:w="243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1D1B"/>
                <w:sz w:val="16"/>
              </w:rPr>
              <w:t>约17.8km · 预计18分钟</w:t>
            </w:r>
          </w:p>
        </w:tc>
        <w:tc>
          <w:tcPr>
            <w:tcW w:type="dxa" w:w="1984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1D1B"/>
                <w:sz w:val="16"/>
              </w:rPr>
              <w:t>待核实</w:t>
            </w:r>
          </w:p>
        </w:tc>
      </w:tr>
      <w:tr>
        <w:tc>
          <w:tcPr>
            <w:tcW w:type="dxa" w:w="1020"/>
            <w:shd w:fill="E8E4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D1D1B"/>
                <w:sz w:val="16"/>
              </w:rPr>
              <w:t>D3</w:t>
            </w:r>
          </w:p>
        </w:tc>
        <w:tc>
          <w:tcPr>
            <w:tcW w:type="dxa" w:w="2835"/>
            <w:shd w:fill="E8E4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1D1B"/>
                <w:sz w:val="16"/>
              </w:rPr>
              <w:t>恭王府</w:t>
            </w:r>
          </w:p>
        </w:tc>
        <w:tc>
          <w:tcPr>
            <w:tcW w:type="dxa" w:w="1701"/>
            <w:shd w:fill="E8E4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1D1B"/>
                <w:sz w:val="16"/>
              </w:rPr>
              <w:t>驾车</w:t>
            </w:r>
          </w:p>
        </w:tc>
        <w:tc>
          <w:tcPr>
            <w:tcW w:type="dxa" w:w="2438"/>
            <w:shd w:fill="E8E4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1D1B"/>
                <w:sz w:val="16"/>
              </w:rPr>
              <w:t>约1.6km · 预计2分钟</w:t>
            </w:r>
          </w:p>
        </w:tc>
        <w:tc>
          <w:tcPr>
            <w:tcW w:type="dxa" w:w="1984"/>
            <w:shd w:fill="E8E4DA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1D1B"/>
                <w:sz w:val="16"/>
              </w:rPr>
              <w:t>待核实</w:t>
            </w:r>
          </w:p>
        </w:tc>
      </w:tr>
      <w:tr>
        <w:tc>
          <w:tcPr>
            <w:tcW w:type="dxa" w:w="1020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/>
                <w:color w:val="1D1D1B"/>
                <w:sz w:val="16"/>
              </w:rPr>
              <w:t>D4</w:t>
            </w:r>
          </w:p>
        </w:tc>
        <w:tc>
          <w:tcPr>
            <w:tcW w:type="dxa" w:w="2835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1D1B"/>
                <w:sz w:val="16"/>
              </w:rPr>
              <w:t>八达岭</w:t>
            </w:r>
          </w:p>
        </w:tc>
        <w:tc>
          <w:tcPr>
            <w:tcW w:type="dxa" w:w="1701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1D1B"/>
                <w:sz w:val="16"/>
              </w:rPr>
              <w:t>驾车</w:t>
            </w:r>
          </w:p>
        </w:tc>
        <w:tc>
          <w:tcPr>
            <w:tcW w:type="dxa" w:w="2438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1D1B"/>
                <w:sz w:val="16"/>
              </w:rPr>
              <w:t>约60.8km · 预计46分钟</w:t>
            </w:r>
          </w:p>
        </w:tc>
        <w:tc>
          <w:tcPr>
            <w:tcW w:type="dxa" w:w="1984"/>
            <w:tcMar>
              <w:top w:w="115" w:type="dxa"/>
              <w:start w:w="120" w:type="dxa"/>
              <w:bottom w:w="115" w:type="dxa"/>
              <w:end w:w="12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  <w:vAlign w:val="center"/>
          </w:tcPr>
          <w:p>
            <w:r>
              <w:rPr>
                <w:rFonts w:ascii="Microsoft YaHei" w:hAnsi="Microsoft YaHei" w:eastAsia="Microsoft YaHei" w:cs="Microsoft YaHei"/>
                <w:b w:val="0"/>
                <w:color w:val="1D1D1B"/>
                <w:sz w:val="16"/>
              </w:rPr>
              <w:t>待核实</w:t>
            </w:r>
          </w:p>
        </w:tc>
      </w:tr>
    </w:tbl>
    <w:p>
      <w:pPr>
        <w:spacing w:before="140" w:after="0" w:lineRule="auto" w:line="312"/>
      </w:pPr>
      <w:r>
        <w:rPr>
          <w:rFonts w:ascii="Microsoft YaHei" w:hAnsi="Microsoft YaHei" w:eastAsia="Microsoft YaHei" w:cs="Microsoft YaHei"/>
          <w:b w:val="0"/>
          <w:color w:val="777777"/>
          <w:sz w:val="16"/>
        </w:rPr>
        <w:t>样式与规划展示，正式产品以最终确认为准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B29A69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02</w:t>
            </w:r>
          </w:p>
        </w:tc>
        <w:tc>
          <w:tcPr>
            <w:tcW w:type="dxa" w:w="8844"/>
            <w:shd w:fill="E8E4DA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1D1D1B"/>
                <w:sz w:val="34"/>
              </w:rPr>
              <w:t>景点章节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5D5D5A"/>
                <w:sz w:val="16"/>
              </w:rPr>
              <w:t>从本地景点资料提炼，保留事实边界</w:t>
            </w:r>
          </w:p>
        </w:tc>
      </w:tr>
    </w:tbl>
    <w:p>
      <w:pPr>
        <w:spacing w:after="0"/>
      </w:pP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B29A69"/>
          <w:sz w:val="18"/>
        </w:rPr>
        <w:t>01</w:t>
      </w:r>
      <w:r>
        <w:rPr>
          <w:rFonts w:ascii="Songti SC" w:hAnsi="Songti SC" w:eastAsia="Songti SC" w:cs="Songti SC"/>
          <w:b/>
          <w:color w:val="1D1D1B"/>
          <w:sz w:val="30"/>
        </w:rPr>
        <w:t xml:space="preserve">  颐和园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D1D1B"/>
          <w:sz w:val="21"/>
        </w:rPr>
        <w:t>（含大门票，游览时间约2小时）它是以昆明湖、万寿山为基址，以杭州西湖为蓝本，汲取江南园林的设计手法而建成的一座大型山水园林，也是保存最完整的一座皇家行宫御苑。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5D5D5A"/>
          <w:sz w:val="17"/>
        </w:rPr>
        <w:t>资料时长：2小时（对客前复核）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670000" cy="3780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place-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70000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B29A69"/>
          <w:sz w:val="18"/>
        </w:rPr>
        <w:t>02</w:t>
      </w:r>
      <w:r>
        <w:rPr>
          <w:rFonts w:ascii="Songti SC" w:hAnsi="Songti SC" w:eastAsia="Songti SC" w:cs="Songti SC"/>
          <w:b/>
          <w:color w:val="1D1D1B"/>
          <w:sz w:val="30"/>
        </w:rPr>
        <w:t xml:space="preserve">  什刹海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D1D1B"/>
          <w:sz w:val="21"/>
        </w:rPr>
        <w:t>“老北京最美的地方”【什刹海风景区】著名的《帝京景物略》中则以“西湖春，秦淮夏，洞庭秋”来赞美什刹海的神韵。景区风光秀丽，。随着游客的增多，这里逐渐出现了一些古文化商店、小吃街和酒吧等，因此，也成为了京城文化街之一。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673545" cy="377999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place-0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73545" cy="3779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B29A69"/>
          <w:sz w:val="18"/>
        </w:rPr>
        <w:t>03</w:t>
      </w:r>
      <w:r>
        <w:rPr>
          <w:rFonts w:ascii="Songti SC" w:hAnsi="Songti SC" w:eastAsia="Songti SC" w:cs="Songti SC"/>
          <w:b/>
          <w:color w:val="1D1D1B"/>
          <w:sz w:val="30"/>
        </w:rPr>
        <w:t xml:space="preserve">  恭王府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D1D1B"/>
          <w:sz w:val="21"/>
        </w:rPr>
        <w:t>【恭王府】（游览时间约2小时），恭王府位于北京市西城区前海西街，是清代规模最大的一座王府，先后作为大贪官和珅、庆亲王永璘的宅邸，后被赐予恭亲王奕訢，由此得名恭王府，并沿用至今。恭王府历经了清王朝由鼎盛至衰亡的历史进程，故有“一座恭王府，半部清代史”的说法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5D5D5A"/>
          <w:sz w:val="17"/>
        </w:rPr>
        <w:t>资料时长：2小时（对客前复核）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668228" cy="3780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place-0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8228" cy="37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keepNext/>
        <w:spacing w:before="180" w:after="80" w:lineRule="auto" w:line="252"/>
      </w:pPr>
      <w:r>
        <w:rPr>
          <w:rFonts w:ascii="Microsoft YaHei" w:hAnsi="Microsoft YaHei" w:eastAsia="Microsoft YaHei" w:cs="Microsoft YaHei"/>
          <w:b/>
          <w:color w:val="B29A69"/>
          <w:sz w:val="18"/>
        </w:rPr>
        <w:t>04</w:t>
      </w:r>
      <w:r>
        <w:rPr>
          <w:rFonts w:ascii="Songti SC" w:hAnsi="Songti SC" w:eastAsia="Songti SC" w:cs="Songti SC"/>
          <w:b/>
          <w:color w:val="1D1D1B"/>
          <w:sz w:val="30"/>
        </w:rPr>
        <w:t xml:space="preserve">  八达岭</w:t>
      </w:r>
    </w:p>
    <w:p>
      <w:pPr>
        <w:keepNext/>
        <w:spacing w:before="0" w:after="100" w:lineRule="auto" w:line="348"/>
      </w:pPr>
      <w:r>
        <w:rPr>
          <w:rFonts w:ascii="Microsoft YaHei" w:hAnsi="Microsoft YaHei" w:eastAsia="Microsoft YaHei" w:cs="Microsoft YaHei"/>
          <w:b w:val="0"/>
          <w:color w:val="1D1D1B"/>
          <w:sz w:val="21"/>
        </w:rPr>
        <w:t>(含首道大门票，游览约2小时)，八达岭长城是北京地区的长城制高点，可以看到长城最雄伟的景观。登长城做好汉，观长城内外祖国大好河山。八达岭长城集巍峨险峻、秀丽苍翠于一体，共有300余位世界各国的国家元首、政府首脑登上过八达岭长城。</w:t>
      </w:r>
    </w:p>
    <w:p>
      <w:pPr>
        <w:spacing w:before="0" w:after="100" w:lineRule="auto" w:line="312"/>
      </w:pPr>
      <w:r>
        <w:rPr>
          <w:rFonts w:ascii="Microsoft YaHei" w:hAnsi="Microsoft YaHei" w:eastAsia="Microsoft YaHei" w:cs="Microsoft YaHei"/>
          <w:b w:val="0"/>
          <w:color w:val="5D5D5A"/>
          <w:sz w:val="17"/>
        </w:rPr>
        <w:t>资料时长：2小时（对客前复核）  ·  提示：八达岭长城距离市区较远（约70公里）,为避免交通拥堵，早餐视情况打包。；八达岭长城游客检票后自由参观，导游仅送到长城景区，检票后不跟团讲解。；八达岭长城景区有缆车上下往返长城，如需要，费用敬请自理。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673545" cy="377999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place-04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73545" cy="3779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134"/>
            <w:shd w:fill="B29A69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0" w:lineRule="auto" w:line="240"/>
              <w:jc w:val="center"/>
            </w:pPr>
            <w:r>
              <w:rPr>
                <w:rFonts w:ascii="Songti SC" w:hAnsi="Songti SC" w:eastAsia="Songti SC" w:cs="Songti SC"/>
                <w:b/>
                <w:color w:val="FFFFFF"/>
                <w:sz w:val="32"/>
              </w:rPr>
              <w:t>03</w:t>
            </w:r>
          </w:p>
        </w:tc>
        <w:tc>
          <w:tcPr>
            <w:tcW w:type="dxa" w:w="8844"/>
            <w:shd w:fill="E8E4DA"/>
            <w:tcMar>
              <w:top w:w="170" w:type="dxa"/>
              <w:start w:w="220" w:type="dxa"/>
              <w:bottom w:w="170" w:type="dxa"/>
              <w:end w:w="220" w:type="dxa"/>
            </w:tcMar>
            <w:vAlign w:val="center"/>
          </w:tcPr>
          <w:p>
            <w:pPr>
              <w:spacing w:before="0" w:after="40" w:lineRule="auto" w:line="240"/>
            </w:pPr>
            <w:r>
              <w:rPr>
                <w:rFonts w:ascii="Songti SC" w:hAnsi="Songti SC" w:eastAsia="Songti SC" w:cs="Songti SC"/>
                <w:b/>
                <w:color w:val="1D1D1B"/>
                <w:sz w:val="34"/>
              </w:rPr>
              <w:t>高端私人订制</w:t>
            </w:r>
          </w:p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 w:val="0"/>
                <w:color w:val="5D5D5A"/>
                <w:sz w:val="16"/>
              </w:rPr>
              <w:t>场景信息只使用可确认内容，缺项不猜测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710"/>
      </w:tblGrid>
      <w:tr>
        <w:trPr>
          <w:tblHeader w:val="true"/>
        </w:trPr>
        <w:tc>
          <w:tcPr>
            <w:tcW w:type="dxa" w:w="4989"/>
            <w:shd w:fill="1D1D1B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8"/>
              </w:rPr>
              <w:t>项目</w:t>
            </w:r>
          </w:p>
        </w:tc>
        <w:tc>
          <w:tcPr>
            <w:tcW w:type="dxa" w:w="4989"/>
            <w:shd w:fill="1D1D1B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before="0" w:after="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FFFFFF"/>
                <w:sz w:val="18"/>
              </w:rPr>
              <w:t>当前内容</w:t>
            </w:r>
          </w:p>
        </w:tc>
      </w:tr>
      <w:tr>
        <w:tc>
          <w:tcPr>
            <w:tcW w:type="dxa" w:w="2268"/>
            <w:shd w:fill="E8E4DA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B29A69"/>
                <w:sz w:val="17"/>
              </w:rPr>
              <w:t>偏好确认</w:t>
            </w:r>
          </w:p>
        </w:tc>
        <w:tc>
          <w:tcPr>
            <w:tcW w:type="dxa" w:w="7710"/>
            <w:shd w:fill="E8E4DA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D1D1B"/>
                <w:sz w:val="18"/>
              </w:rPr>
              <w:t>待核实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B29A69"/>
                <w:sz w:val="17"/>
              </w:rPr>
              <w:t>体验场景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D1D1B"/>
                <w:sz w:val="18"/>
              </w:rPr>
              <w:t>• 颐和园</w:t>
              <w:br/>
              <w:t>• 什刹海</w:t>
              <w:br/>
              <w:t>• 恭王府</w:t>
              <w:br/>
              <w:t>• 八达岭</w:t>
            </w:r>
          </w:p>
        </w:tc>
      </w:tr>
      <w:tr>
        <w:tc>
          <w:tcPr>
            <w:tcW w:type="dxa" w:w="2268"/>
            <w:shd w:fill="E8E4DA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B29A69"/>
                <w:sz w:val="17"/>
              </w:rPr>
              <w:t>节奏建议</w:t>
            </w:r>
          </w:p>
        </w:tc>
        <w:tc>
          <w:tcPr>
            <w:tcW w:type="dxa" w:w="7710"/>
            <w:shd w:fill="E8E4DA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D1D1B"/>
                <w:sz w:val="18"/>
              </w:rPr>
              <w:t>颐和园 · 什刹海 · 恭王府 · 八达岭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B29A69"/>
                <w:sz w:val="17"/>
              </w:rPr>
              <w:t>住宿交通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D1D1B"/>
                <w:sz w:val="18"/>
              </w:rPr>
              <w:t>酒店、房型、车型与接送方式待核实</w:t>
            </w:r>
          </w:p>
        </w:tc>
      </w:tr>
      <w:tr>
        <w:tc>
          <w:tcPr>
            <w:tcW w:type="dxa" w:w="2268"/>
            <w:shd w:fill="E8E4DA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B29A69"/>
                <w:sz w:val="17"/>
              </w:rPr>
              <w:t>服务边界</w:t>
            </w:r>
          </w:p>
        </w:tc>
        <w:tc>
          <w:tcPr>
            <w:tcW w:type="dxa" w:w="7710"/>
            <w:shd w:fill="E8E4DA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D1D1B"/>
                <w:sz w:val="18"/>
              </w:rPr>
              <w:t>本页不承诺专属礼遇、升级、房型、车型或具体服务人员</w:t>
            </w:r>
          </w:p>
        </w:tc>
      </w:tr>
      <w:tr>
        <w:tc>
          <w:tcPr>
            <w:tcW w:type="dxa" w:w="2268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B29A69"/>
                <w:sz w:val="17"/>
              </w:rPr>
              <w:t>可调整项</w:t>
            </w:r>
          </w:p>
        </w:tc>
        <w:tc>
          <w:tcPr>
            <w:tcW w:type="dxa" w:w="7710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D1D1B"/>
                <w:sz w:val="18"/>
              </w:rPr>
              <w:t>可调整项目及其费用影响待核实</w:t>
            </w:r>
          </w:p>
        </w:tc>
      </w:tr>
      <w:tr>
        <w:tc>
          <w:tcPr>
            <w:tcW w:type="dxa" w:w="2268"/>
            <w:shd w:fill="E8E4DA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</w:tcPr>
          <w:p>
            <w:r>
              <w:rPr>
                <w:rFonts w:ascii="Microsoft YaHei" w:hAnsi="Microsoft YaHei" w:eastAsia="Microsoft YaHei" w:cs="Microsoft YaHei"/>
                <w:b/>
                <w:color w:val="B29A69"/>
                <w:sz w:val="17"/>
              </w:rPr>
              <w:t>专属联系</w:t>
            </w:r>
          </w:p>
        </w:tc>
        <w:tc>
          <w:tcPr>
            <w:tcW w:type="dxa" w:w="7710"/>
            <w:shd w:fill="E8E4DA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3" w:color="E8E4DA"/>
              <w:left w:val="single" w:sz="3" w:color="E8E4DA"/>
              <w:bottom w:val="single" w:sz="3" w:color="E8E4DA"/>
              <w:right w:val="single" w:sz="3" w:color="E8E4DA"/>
            </w:tcBorders>
          </w:tcPr>
          <w:p>
            <w:r>
              <w:rPr>
                <w:rFonts w:ascii="Microsoft YaHei" w:hAnsi="Microsoft YaHei" w:eastAsia="Microsoft YaHei" w:cs="Microsoft YaHei"/>
                <w:b w:val="0"/>
                <w:color w:val="1D1D1B"/>
                <w:sz w:val="18"/>
              </w:rPr>
              <w:t>待核实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E8E4DA"/>
            <w:tcMar>
              <w:top w:w="210" w:type="dxa"/>
              <w:start w:w="260" w:type="dxa"/>
              <w:bottom w:w="210" w:type="dxa"/>
              <w:end w:w="260" w:type="dxa"/>
            </w:tcMar>
            <w:tcBorders>
              <w:left w:val="single" w:sz="12" w:color="B29A69"/>
            </w:tcBorders>
          </w:tcPr>
          <w:p>
            <w:pPr>
              <w:spacing w:before="0" w:after="100" w:lineRule="auto" w:line="240"/>
            </w:pPr>
            <w:r>
              <w:rPr>
                <w:rFonts w:ascii="Microsoft YaHei" w:hAnsi="Microsoft YaHei" w:eastAsia="Microsoft YaHei" w:cs="Microsoft YaHei"/>
                <w:b/>
                <w:color w:val="B29A69"/>
                <w:sz w:val="20"/>
              </w:rPr>
              <w:t>对客前核验清单</w:t>
            </w:r>
          </w:p>
          <w:p>
            <w:pPr>
              <w:spacing w:before="0" w:after="0" w:lineRule="auto" w:line="324"/>
            </w:pPr>
            <w:r>
              <w:rPr>
                <w:rFonts w:ascii="Microsoft YaHei" w:hAnsi="Microsoft YaHei" w:eastAsia="Microsoft YaHei" w:cs="Microsoft YaHei"/>
                <w:b/>
                <w:color w:val="1D1D1B"/>
                <w:sz w:val="18"/>
              </w:rPr>
              <w:t>价格：待核实  ｜  日期：待核实  ｜  交通：待核实  ｜  住宿：待核实  ｜  餐食：待核实</w:t>
              <w:br/>
              <w:t>门票与政策：待核实  ｜  联系方式：待核实  ｜  具体服务与资质：待核实</w:t>
            </w:r>
          </w:p>
        </w:tc>
      </w:tr>
    </w:tbl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本页为主题组合与视觉样式预览，不代表已经形成可售班期。</w:t>
      </w:r>
    </w:p>
    <w:p>
      <w:pPr>
        <w:pStyle w:val="ListBullet"/>
        <w:spacing w:before="0" w:after="60" w:lineRule="auto" w:line="312"/>
      </w:pPr>
      <w:r>
        <w:rPr>
          <w:rFonts w:ascii="Microsoft YaHei" w:hAnsi="Microsoft YaHei" w:eastAsia="Microsoft YaHei" w:cs="Microsoft YaHei"/>
          <w:b w:val="0"/>
          <w:color w:val="666666"/>
          <w:sz w:val="17"/>
        </w:rPr>
        <w:t>价格、日期、住宿、交通、餐食、门票、联系方式和动态政策均须在对客前复核。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964" w:bottom="907" w:left="96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Rule="auto" w:line="240"/>
      <w:jc w:val="center"/>
    </w:pPr>
    <w:r>
      <w:rPr>
        <w:rFonts w:ascii="Microsoft YaHei" w:hAnsi="Microsoft YaHei" w:eastAsia="Microsoft YaHei"/>
        <w:b w:val="0"/>
        <w:i w:val="0"/>
        <w:color w:val="5D5D5A"/>
        <w:sz w:val="14"/>
      </w:rPr>
      <w:t>同源双模式模板 · 内容以事实账本为准</w:t>
    </w:r>
    <w:r>
      <w:rPr>
        <w:rFonts w:ascii="Microsoft YaHei" w:hAnsi="Microsoft YaHei" w:eastAsia="Microsoft YaHei" w:cs="Microsoft YaHei"/>
        <w:b w:val="0"/>
        <w:color w:val="777777"/>
        <w:sz w:val="15"/>
      </w:rPr>
      <w:t>主题组合预览  ·  动态业务信息请在对客前复核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Rule="auto" w:line="240"/>
      <w:jc w:val="right"/>
    </w:pPr>
    <w:r>
      <w:rPr>
        <w:rFonts w:ascii="Microsoft YaHei" w:hAnsi="Microsoft YaHei" w:eastAsia="Microsoft YaHei"/>
        <w:b/>
        <w:i w:val="0"/>
        <w:color w:val="5D5D5A"/>
        <w:sz w:val="15"/>
      </w:rPr>
      <w:t>私享极简旅行模板  /  EDITABLE WORD</w:t>
    </w:r>
    <w:r>
      <w:rPr>
        <w:rFonts w:ascii="Microsoft YaHei" w:hAnsi="Microsoft YaHei" w:eastAsia="Microsoft YaHei" w:cs="Microsoft YaHei"/>
        <w:b/>
        <w:color w:val="5D5D5A"/>
        <w:sz w:val="16"/>
      </w:rPr>
      <w:t>北京  ·  私享极简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Microsoft YaHei" w:hAnsi="Microsoft YaHei" w:eastAsia="Microsoft YaHei" w:cs="Microsoft YaHei"/>
      <w:color w:val="1D1D1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1D1D1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Songti SC" w:hAnsi="Songti SC" w:eastAsia="Songti SC" w:cs="Songti SC"/>
      <w:b/>
      <w:bCs/>
      <w:color w:val="1D1D1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Songti SC" w:hAnsi="Songti SC" w:eastAsia="Songti SC" w:cs="Songti SC"/>
      <w:b w:val="0"/>
      <w:color w:val="1D1D1B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jpg"/><Relationship Id="rId14" Type="http://schemas.openxmlformats.org/officeDocument/2006/relationships/image" Target="media/image4.jpg"/><Relationship Id="rId15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北京私享家·极简定制</dc:title>
  <dc:subject>北京旅游主题组合与视觉预览</dc:subject>
  <dc:creator>老方旅游内容工作流</dc:creator>
  <cp:keywords/>
  <dc:description>由本地资料生成；动态业务信息须在对客前核实。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